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AF45E" w14:textId="77777777" w:rsidR="00634707" w:rsidRDefault="00634707" w:rsidP="00634707">
      <w:pPr>
        <w:pStyle w:val="ApTexto"/>
        <w:shd w:val="clear" w:color="auto" w:fill="D9D9D9" w:themeFill="background1" w:themeFillShade="D9"/>
        <w:ind w:left="-1418" w:right="-1418" w:firstLine="0"/>
        <w:jc w:val="center"/>
      </w:pPr>
    </w:p>
    <w:p w14:paraId="76E05110" w14:textId="33E1C182" w:rsidR="001A5069" w:rsidRDefault="00864D51" w:rsidP="00634707">
      <w:pPr>
        <w:pStyle w:val="TJTR-Ttulo"/>
        <w:spacing w:before="0" w:after="0"/>
        <w:ind w:left="-1418" w:right="-1418"/>
      </w:pPr>
      <w:bookmarkStart w:id="0" w:name="_Toc142556179"/>
      <w:r w:rsidRPr="00046E6C">
        <w:t>TERMO DE JUSTIFICATIVAS TÉCNICAS RELEVANTES</w:t>
      </w:r>
      <w:bookmarkEnd w:id="0"/>
    </w:p>
    <w:p w14:paraId="76C95A9C" w14:textId="4B43E2EE" w:rsidR="003C7979" w:rsidRDefault="003C7979" w:rsidP="003C7979">
      <w:pPr>
        <w:pStyle w:val="TJTR-Ttulo"/>
        <w:spacing w:before="0" w:after="0"/>
        <w:ind w:left="-1418" w:right="-1418"/>
      </w:pPr>
      <w:r w:rsidRPr="002867F8">
        <w:rPr>
          <w:sz w:val="36"/>
          <w:szCs w:val="36"/>
        </w:rPr>
        <w:t>OBRAS/SERVIÇOS DE ENGENHARIA</w:t>
      </w:r>
    </w:p>
    <w:p w14:paraId="2C67DF2A" w14:textId="77777777" w:rsidR="00634707" w:rsidRPr="001A5069" w:rsidRDefault="00634707" w:rsidP="00634707">
      <w:pPr>
        <w:pStyle w:val="ApTexto"/>
        <w:shd w:val="clear" w:color="auto" w:fill="D9D9D9" w:themeFill="background1" w:themeFillShade="D9"/>
        <w:ind w:left="-1418" w:right="-1418" w:firstLine="0"/>
        <w:jc w:val="center"/>
      </w:pPr>
    </w:p>
    <w:p w14:paraId="20A992D5" w14:textId="77777777" w:rsidR="007361F2" w:rsidRDefault="007361F2" w:rsidP="007361F2">
      <w:pPr>
        <w:pStyle w:val="Normal-TJTR"/>
        <w:spacing w:after="360"/>
        <w:rPr>
          <w:rFonts w:asciiTheme="majorHAnsi" w:hAnsiTheme="majorHAnsi" w:cstheme="majorHAnsi"/>
          <w:b/>
          <w:lang w:eastAsia="ar-SA"/>
        </w:rPr>
      </w:pPr>
    </w:p>
    <w:p w14:paraId="669B22BF" w14:textId="06F8A63F" w:rsidR="007361F2" w:rsidRPr="007361F2" w:rsidRDefault="00864D51" w:rsidP="007361F2">
      <w:pPr>
        <w:pStyle w:val="Normal-TJTR"/>
        <w:spacing w:after="360"/>
        <w:rPr>
          <w:rFonts w:asciiTheme="majorHAnsi" w:hAnsiTheme="majorHAnsi" w:cstheme="majorHAnsi"/>
          <w:b/>
          <w:lang w:eastAsia="ar-SA"/>
        </w:rPr>
      </w:pPr>
      <w:r w:rsidRPr="007361F2">
        <w:rPr>
          <w:rFonts w:asciiTheme="majorHAnsi" w:hAnsiTheme="majorHAnsi" w:cstheme="majorHAnsi"/>
          <w:b/>
          <w:lang w:eastAsia="ar-SA"/>
        </w:rPr>
        <w:t>NUP N</w:t>
      </w:r>
      <w:r w:rsidR="00691212" w:rsidRPr="007361F2">
        <w:rPr>
          <w:rFonts w:asciiTheme="majorHAnsi" w:hAnsiTheme="majorHAnsi" w:cstheme="majorHAnsi"/>
          <w:b/>
          <w:lang w:eastAsia="ar-SA"/>
        </w:rPr>
        <w:t>.</w:t>
      </w:r>
      <w:r w:rsidRPr="007361F2">
        <w:rPr>
          <w:rFonts w:asciiTheme="majorHAnsi" w:hAnsiTheme="majorHAnsi" w:cstheme="majorHAnsi"/>
          <w:b/>
          <w:lang w:eastAsia="ar-SA"/>
        </w:rPr>
        <w:t xml:space="preserve"> </w:t>
      </w:r>
      <w:r w:rsidR="00393672">
        <w:rPr>
          <w:rFonts w:asciiTheme="majorHAnsi" w:hAnsiTheme="majorHAnsi" w:cstheme="majorHAnsi"/>
          <w:b/>
          <w:lang w:eastAsia="ar-SA"/>
        </w:rPr>
        <w:t>________________________________________________</w:t>
      </w:r>
    </w:p>
    <w:p w14:paraId="5F0F3C5B" w14:textId="57D7B72E" w:rsidR="007361F2" w:rsidRPr="005C6523" w:rsidRDefault="00864D51" w:rsidP="00046E6C">
      <w:pPr>
        <w:pStyle w:val="Normal-TJTR"/>
        <w:spacing w:after="360"/>
        <w:rPr>
          <w:rFonts w:asciiTheme="majorHAnsi" w:hAnsiTheme="majorHAnsi" w:cstheme="majorHAnsi"/>
          <w:b/>
          <w:u w:val="single"/>
          <w:lang w:eastAsia="ar-SA"/>
        </w:rPr>
      </w:pPr>
      <w:r w:rsidRPr="007361F2">
        <w:rPr>
          <w:rFonts w:asciiTheme="majorHAnsi" w:hAnsiTheme="majorHAnsi" w:cstheme="majorHAnsi"/>
          <w:b/>
          <w:lang w:eastAsia="ar-SA"/>
        </w:rPr>
        <w:t>OBJETO</w:t>
      </w:r>
      <w:r w:rsidR="00E83735" w:rsidRPr="007361F2">
        <w:rPr>
          <w:rFonts w:asciiTheme="majorHAnsi" w:hAnsiTheme="majorHAnsi" w:cstheme="majorHAnsi"/>
          <w:b/>
          <w:lang w:eastAsia="ar-SA"/>
        </w:rPr>
        <w:t>:</w:t>
      </w:r>
      <w:r w:rsidR="00393672">
        <w:rPr>
          <w:rFonts w:asciiTheme="majorHAnsi" w:hAnsiTheme="majorHAnsi" w:cstheme="majorHAnsi"/>
          <w:b/>
          <w:lang w:eastAsia="ar-SA"/>
        </w:rPr>
        <w:t xml:space="preserve"> </w:t>
      </w:r>
      <w:r w:rsidR="00241966">
        <w:rPr>
          <w:rFonts w:asciiTheme="majorHAnsi" w:hAnsiTheme="majorHAnsi" w:cstheme="majorHAnsi"/>
          <w:b/>
          <w:u w:val="single"/>
          <w:lang w:eastAsia="ar-SA"/>
        </w:rPr>
        <w:t>PRÉ-MOLDADO – PÁTIO DE MÁQUINAS</w:t>
      </w:r>
    </w:p>
    <w:p w14:paraId="53BEDC89" w14:textId="77777777" w:rsidR="00702059" w:rsidRDefault="00702059" w:rsidP="00046E6C">
      <w:pPr>
        <w:pStyle w:val="Normal-TJTR"/>
        <w:spacing w:after="360"/>
        <w:rPr>
          <w:rFonts w:asciiTheme="majorHAnsi" w:hAnsiTheme="majorHAnsi" w:cstheme="majorHAnsi"/>
          <w:b/>
          <w:sz w:val="24"/>
          <w:szCs w:val="24"/>
          <w:u w:val="single"/>
        </w:rPr>
      </w:pPr>
    </w:p>
    <w:p w14:paraId="143D19D2" w14:textId="63DFB536" w:rsidR="003C7979" w:rsidRPr="00D00449" w:rsidRDefault="003C7979" w:rsidP="003C7979">
      <w:pPr>
        <w:pStyle w:val="Normal-TJTR"/>
        <w:spacing w:after="360"/>
        <w:rPr>
          <w:rFonts w:asciiTheme="majorHAnsi" w:hAnsiTheme="majorHAnsi" w:cstheme="majorHAnsi"/>
          <w:sz w:val="24"/>
          <w:szCs w:val="24"/>
        </w:rPr>
      </w:pPr>
      <w:r w:rsidRPr="00D00449">
        <w:rPr>
          <w:rFonts w:asciiTheme="majorHAnsi" w:hAnsiTheme="majorHAnsi" w:cstheme="majorHAnsi"/>
          <w:b/>
          <w:bCs/>
          <w:sz w:val="24"/>
          <w:szCs w:val="24"/>
        </w:rPr>
        <w:t>OBSERVAÇÃO 1</w:t>
      </w:r>
      <w:r w:rsidRPr="00D00449">
        <w:rPr>
          <w:rFonts w:asciiTheme="majorHAnsi" w:hAnsiTheme="majorHAnsi" w:cstheme="majorHAnsi"/>
          <w:sz w:val="24"/>
          <w:szCs w:val="24"/>
        </w:rPr>
        <w:t xml:space="preserve">: Este termo contém e antecipa as </w:t>
      </w:r>
      <w:r w:rsidRPr="00794D34">
        <w:rPr>
          <w:rFonts w:asciiTheme="majorHAnsi" w:hAnsiTheme="majorHAnsi" w:cstheme="majorHAnsi"/>
          <w:b/>
          <w:bCs/>
          <w:sz w:val="24"/>
          <w:szCs w:val="24"/>
        </w:rPr>
        <w:t>orientações jurídicas mais comuns</w:t>
      </w:r>
      <w:r w:rsidRPr="00D00449">
        <w:rPr>
          <w:rFonts w:asciiTheme="majorHAnsi" w:hAnsiTheme="majorHAnsi" w:cstheme="majorHAnsi"/>
          <w:sz w:val="24"/>
          <w:szCs w:val="24"/>
        </w:rPr>
        <w:t xml:space="preserve"> emitidas nas análises de licitações de obras e serviços de engenharia. Acaba sendo também um roteiro com os </w:t>
      </w:r>
      <w:r w:rsidRPr="00794D34">
        <w:rPr>
          <w:rFonts w:asciiTheme="majorHAnsi" w:hAnsiTheme="majorHAnsi" w:cstheme="majorHAnsi"/>
          <w:b/>
          <w:bCs/>
          <w:sz w:val="24"/>
          <w:szCs w:val="24"/>
        </w:rPr>
        <w:t>requisitos da instrução processual</w:t>
      </w:r>
      <w:r w:rsidRPr="00D00449">
        <w:rPr>
          <w:rFonts w:asciiTheme="majorHAnsi" w:hAnsiTheme="majorHAnsi" w:cstheme="majorHAnsi"/>
          <w:sz w:val="24"/>
          <w:szCs w:val="24"/>
        </w:rPr>
        <w:t>, sem prejuízo da Lista de Verificação.</w:t>
      </w:r>
    </w:p>
    <w:p w14:paraId="07143694" w14:textId="77777777" w:rsidR="003C7979" w:rsidRDefault="003C7979" w:rsidP="003C7979">
      <w:pPr>
        <w:pStyle w:val="Normal-TJTR"/>
        <w:spacing w:after="360"/>
        <w:rPr>
          <w:rFonts w:asciiTheme="majorHAnsi" w:hAnsiTheme="majorHAnsi" w:cstheme="majorHAnsi"/>
          <w:sz w:val="24"/>
          <w:szCs w:val="24"/>
        </w:rPr>
      </w:pPr>
      <w:r w:rsidRPr="00D00449">
        <w:rPr>
          <w:rFonts w:asciiTheme="majorHAnsi" w:hAnsiTheme="majorHAnsi" w:cstheme="majorHAnsi"/>
          <w:b/>
          <w:bCs/>
          <w:sz w:val="24"/>
          <w:szCs w:val="24"/>
        </w:rPr>
        <w:t>OBSERVAÇÃO 2</w:t>
      </w:r>
      <w:r w:rsidRPr="00D00449">
        <w:rPr>
          <w:rFonts w:asciiTheme="majorHAnsi" w:hAnsiTheme="majorHAnsi" w:cstheme="majorHAnsi"/>
          <w:sz w:val="24"/>
          <w:szCs w:val="24"/>
        </w:rPr>
        <w:t xml:space="preserve">: Todos os tópicos devem ser analisados, preenchidos e assinados por </w:t>
      </w:r>
      <w:r w:rsidRPr="00794D34">
        <w:rPr>
          <w:rFonts w:asciiTheme="majorHAnsi" w:hAnsiTheme="majorHAnsi" w:cstheme="majorHAnsi"/>
          <w:b/>
          <w:bCs/>
          <w:sz w:val="24"/>
          <w:szCs w:val="24"/>
        </w:rPr>
        <w:t>profissional habilitado</w:t>
      </w:r>
      <w:r w:rsidRPr="00D00449">
        <w:rPr>
          <w:rFonts w:asciiTheme="majorHAnsi" w:hAnsiTheme="majorHAnsi" w:cstheme="majorHAnsi"/>
          <w:sz w:val="24"/>
          <w:szCs w:val="24"/>
        </w:rPr>
        <w:t>, de acordo com as competências atribuídas pela Lei n. 5.194, de 1966, e as Resoluções do Conselho Federal de Engenharia e Agricultura – CONFEA, Lei n. 12.378, de 2010, e as Resoluções do Conselho de Arquitetura e Urbanismo – CAU, ou pela Lei n. 13.639, de 2018, e as Resoluções do Conselho Federal dos Técnicos Industriais – CFT.</w:t>
      </w:r>
    </w:p>
    <w:p w14:paraId="2D7E8277" w14:textId="77777777" w:rsidR="003C7979" w:rsidRDefault="003C7979" w:rsidP="003C7979">
      <w:pPr>
        <w:pStyle w:val="Normal-TJTR"/>
        <w:spacing w:after="360"/>
        <w:rPr>
          <w:rFonts w:asciiTheme="majorHAnsi" w:hAnsiTheme="majorHAnsi" w:cstheme="majorHAnsi"/>
          <w:sz w:val="24"/>
          <w:szCs w:val="24"/>
        </w:rPr>
      </w:pPr>
      <w:r w:rsidRPr="00D00449">
        <w:rPr>
          <w:rFonts w:asciiTheme="majorHAnsi" w:hAnsiTheme="majorHAnsi" w:cstheme="majorHAnsi"/>
          <w:b/>
          <w:bCs/>
          <w:sz w:val="24"/>
          <w:szCs w:val="24"/>
        </w:rPr>
        <w:t>OBSERVAÇÃO 3</w:t>
      </w:r>
      <w:r w:rsidRPr="00D00449">
        <w:rPr>
          <w:rFonts w:asciiTheme="majorHAnsi" w:hAnsiTheme="majorHAnsi" w:cstheme="majorHAnsi"/>
          <w:sz w:val="24"/>
          <w:szCs w:val="24"/>
        </w:rPr>
        <w:t xml:space="preserve">: Alguns tópicos necessitam, além da marcação do espaço entre parênteses, da apresentação da </w:t>
      </w:r>
      <w:r w:rsidRPr="00794D34">
        <w:rPr>
          <w:rFonts w:asciiTheme="majorHAnsi" w:hAnsiTheme="majorHAnsi" w:cstheme="majorHAnsi"/>
          <w:b/>
          <w:bCs/>
          <w:sz w:val="24"/>
          <w:szCs w:val="24"/>
        </w:rPr>
        <w:t>justificativa técnica detalhada contendo as razões que motivam a opção adotada para o caso concreto</w:t>
      </w:r>
      <w:r w:rsidRPr="00D00449">
        <w:rPr>
          <w:rFonts w:asciiTheme="majorHAnsi" w:hAnsiTheme="majorHAnsi" w:cstheme="majorHAnsi"/>
          <w:sz w:val="24"/>
          <w:szCs w:val="24"/>
        </w:rPr>
        <w:t>, não podendo, portanto, ser genérica nem abstrata.</w:t>
      </w:r>
    </w:p>
    <w:p w14:paraId="695FD9A2" w14:textId="77777777" w:rsidR="003C7979" w:rsidRDefault="003C7979" w:rsidP="003C7979">
      <w:pPr>
        <w:pStyle w:val="Normal-TJTR"/>
        <w:spacing w:after="360"/>
        <w:rPr>
          <w:rFonts w:asciiTheme="majorHAnsi" w:hAnsiTheme="majorHAnsi" w:cstheme="majorHAnsi"/>
          <w:sz w:val="24"/>
          <w:szCs w:val="24"/>
        </w:rPr>
      </w:pPr>
      <w:r w:rsidRPr="00D00449">
        <w:rPr>
          <w:rFonts w:asciiTheme="majorHAnsi" w:hAnsiTheme="majorHAnsi" w:cstheme="majorHAnsi"/>
          <w:b/>
          <w:bCs/>
          <w:sz w:val="24"/>
          <w:szCs w:val="24"/>
        </w:rPr>
        <w:t>OBSERVAÇÃO 4</w:t>
      </w:r>
      <w:r w:rsidRPr="00D00449">
        <w:rPr>
          <w:rFonts w:asciiTheme="majorHAnsi" w:hAnsiTheme="majorHAnsi" w:cstheme="majorHAnsi"/>
          <w:sz w:val="24"/>
          <w:szCs w:val="24"/>
        </w:rPr>
        <w:t xml:space="preserve">: A </w:t>
      </w:r>
      <w:r w:rsidRPr="00794D34">
        <w:rPr>
          <w:rFonts w:asciiTheme="majorHAnsi" w:hAnsiTheme="majorHAnsi" w:cstheme="majorHAnsi"/>
          <w:b/>
          <w:bCs/>
          <w:sz w:val="24"/>
          <w:szCs w:val="24"/>
        </w:rPr>
        <w:t>ausência</w:t>
      </w:r>
      <w:r w:rsidRPr="00D00449">
        <w:rPr>
          <w:rFonts w:asciiTheme="majorHAnsi" w:hAnsiTheme="majorHAnsi" w:cstheme="majorHAnsi"/>
          <w:sz w:val="24"/>
          <w:szCs w:val="24"/>
        </w:rPr>
        <w:t xml:space="preserve"> deste termo ou de justificativas </w:t>
      </w:r>
      <w:r w:rsidRPr="00794D34">
        <w:rPr>
          <w:rFonts w:asciiTheme="majorHAnsi" w:hAnsiTheme="majorHAnsi" w:cstheme="majorHAnsi"/>
          <w:b/>
          <w:bCs/>
          <w:sz w:val="24"/>
          <w:szCs w:val="24"/>
        </w:rPr>
        <w:t>pode acarretar a devolução dos autos sem análise conclusiva</w:t>
      </w:r>
      <w:r w:rsidRPr="00D00449">
        <w:rPr>
          <w:rFonts w:asciiTheme="majorHAnsi" w:hAnsiTheme="majorHAnsi" w:cstheme="majorHAnsi"/>
          <w:sz w:val="24"/>
          <w:szCs w:val="24"/>
        </w:rPr>
        <w:t xml:space="preserve"> ou ressalva no Parecer jurídico, cujo atendimento será imprescindível para o prosseguimento do feito.</w:t>
      </w:r>
    </w:p>
    <w:p w14:paraId="1D2D03DB" w14:textId="77777777" w:rsidR="003C7979" w:rsidRDefault="003C7979" w:rsidP="003C7979">
      <w:pPr>
        <w:pStyle w:val="Normal-TJTR"/>
        <w:spacing w:after="360"/>
        <w:rPr>
          <w:rFonts w:asciiTheme="majorHAnsi" w:hAnsiTheme="majorHAnsi" w:cstheme="majorHAnsi"/>
          <w:sz w:val="24"/>
          <w:szCs w:val="24"/>
        </w:rPr>
      </w:pPr>
      <w:r w:rsidRPr="00D00449">
        <w:rPr>
          <w:rFonts w:asciiTheme="majorHAnsi" w:hAnsiTheme="majorHAnsi" w:cstheme="majorHAnsi"/>
          <w:b/>
          <w:bCs/>
          <w:sz w:val="24"/>
          <w:szCs w:val="24"/>
        </w:rPr>
        <w:t>OBSERVAÇÃO 5</w:t>
      </w:r>
      <w:r w:rsidRPr="00D00449">
        <w:rPr>
          <w:rFonts w:asciiTheme="majorHAnsi" w:hAnsiTheme="majorHAnsi" w:cstheme="majorHAnsi"/>
          <w:sz w:val="24"/>
          <w:szCs w:val="24"/>
        </w:rPr>
        <w:t xml:space="preserve">: Para o correto preenchimento, é indispensável a </w:t>
      </w:r>
      <w:r w:rsidRPr="00794D34">
        <w:rPr>
          <w:rFonts w:asciiTheme="majorHAnsi" w:hAnsiTheme="majorHAnsi" w:cstheme="majorHAnsi"/>
          <w:b/>
          <w:bCs/>
          <w:sz w:val="24"/>
          <w:szCs w:val="24"/>
        </w:rPr>
        <w:t>leitura das Notas Explicativas</w:t>
      </w:r>
      <w:r w:rsidRPr="00D00449">
        <w:rPr>
          <w:rFonts w:asciiTheme="majorHAnsi" w:hAnsiTheme="majorHAnsi" w:cstheme="majorHAnsi"/>
          <w:sz w:val="24"/>
          <w:szCs w:val="24"/>
        </w:rPr>
        <w:t xml:space="preserve"> deste documento, cujo conteúdo consta após as justificativas, mas também pode ser acessado por meio do link inserido ao final de cada tópico.</w:t>
      </w:r>
    </w:p>
    <w:p w14:paraId="654AF29E" w14:textId="549459F4" w:rsidR="00886ABE" w:rsidRDefault="00E74062" w:rsidP="007E2856">
      <w:pPr>
        <w:pStyle w:val="Normal-TJTR"/>
        <w:spacing w:after="360"/>
        <w:rPr>
          <w:rFonts w:asciiTheme="majorHAnsi" w:hAnsiTheme="majorHAnsi" w:cstheme="majorHAnsi"/>
          <w:sz w:val="24"/>
          <w:szCs w:val="24"/>
        </w:rPr>
      </w:pPr>
      <w:r w:rsidRPr="003C7979">
        <w:rPr>
          <w:rFonts w:asciiTheme="majorHAnsi" w:hAnsiTheme="majorHAnsi" w:cstheme="majorHAnsi"/>
          <w:b/>
          <w:bCs/>
          <w:sz w:val="24"/>
          <w:szCs w:val="24"/>
        </w:rPr>
        <w:t xml:space="preserve">OBSERVAÇÃO </w:t>
      </w:r>
      <w:r w:rsidR="003C7979" w:rsidRPr="003C7979">
        <w:rPr>
          <w:rFonts w:asciiTheme="majorHAnsi" w:hAnsiTheme="majorHAnsi" w:cstheme="majorHAnsi"/>
          <w:b/>
          <w:bCs/>
          <w:sz w:val="24"/>
          <w:szCs w:val="24"/>
        </w:rPr>
        <w:t>6</w:t>
      </w:r>
      <w:r w:rsidRPr="00404AD5">
        <w:rPr>
          <w:rFonts w:asciiTheme="majorHAnsi" w:hAnsiTheme="majorHAnsi" w:cstheme="majorHAnsi"/>
          <w:sz w:val="24"/>
          <w:szCs w:val="24"/>
        </w:rPr>
        <w:t xml:space="preserve">: </w:t>
      </w:r>
      <w:r w:rsidR="00550DDE">
        <w:rPr>
          <w:rFonts w:asciiTheme="majorHAnsi" w:hAnsiTheme="majorHAnsi" w:cstheme="majorHAnsi"/>
          <w:sz w:val="24"/>
          <w:szCs w:val="24"/>
        </w:rPr>
        <w:t>Devem ser juntadas ao processo as “Declarações e Justificativas”; não é necessário juntar aos autos a parte do arquivo correspondente às “Notas Explicativas”.</w:t>
      </w:r>
    </w:p>
    <w:p w14:paraId="5A4BC998" w14:textId="77777777" w:rsidR="003C7979" w:rsidRDefault="003C7979" w:rsidP="007E2856">
      <w:pPr>
        <w:pStyle w:val="Normal-TJTR"/>
        <w:spacing w:after="360"/>
        <w:rPr>
          <w:rFonts w:asciiTheme="majorHAnsi" w:hAnsiTheme="majorHAnsi" w:cstheme="majorHAnsi"/>
          <w:sz w:val="24"/>
          <w:szCs w:val="24"/>
        </w:rPr>
      </w:pPr>
    </w:p>
    <w:p w14:paraId="457E1D67" w14:textId="1E4E0B9E" w:rsidR="00886ABE" w:rsidRPr="00886ABE" w:rsidRDefault="00886ABE" w:rsidP="00886ABE">
      <w:pPr>
        <w:pStyle w:val="Normal-TJTR"/>
        <w:shd w:val="clear" w:color="auto" w:fill="D9D9D9" w:themeFill="background1" w:themeFillShade="D9"/>
        <w:spacing w:after="120"/>
        <w:ind w:left="-1418" w:right="-1418"/>
        <w:jc w:val="center"/>
        <w:rPr>
          <w:rFonts w:asciiTheme="majorHAnsi" w:hAnsiTheme="majorHAnsi" w:cstheme="majorHAnsi"/>
          <w:b/>
          <w:bCs/>
          <w:sz w:val="24"/>
          <w:szCs w:val="24"/>
        </w:rPr>
      </w:pPr>
    </w:p>
    <w:p w14:paraId="4E87FB97" w14:textId="0E065AA3" w:rsidR="00886ABE" w:rsidRPr="006014BF" w:rsidRDefault="00886ABE" w:rsidP="006014BF">
      <w:pPr>
        <w:pStyle w:val="TJTR-Ttulo"/>
        <w:spacing w:before="0" w:after="0"/>
        <w:ind w:left="-1418" w:right="-1418"/>
      </w:pPr>
      <w:bookmarkStart w:id="1" w:name="_Toc142556180"/>
      <w:r w:rsidRPr="006014BF">
        <w:lastRenderedPageBreak/>
        <w:t>SUMÁRIO</w:t>
      </w:r>
      <w:bookmarkEnd w:id="1"/>
    </w:p>
    <w:p w14:paraId="0D11A526" w14:textId="74168731" w:rsidR="00886ABE" w:rsidRDefault="00886ABE" w:rsidP="00886ABE">
      <w:pPr>
        <w:pStyle w:val="Normal-TJTR"/>
        <w:shd w:val="clear" w:color="auto" w:fill="D9D9D9" w:themeFill="background1" w:themeFillShade="D9"/>
        <w:spacing w:after="120"/>
        <w:ind w:left="-1418" w:right="-1418"/>
        <w:jc w:val="center"/>
        <w:rPr>
          <w:rFonts w:asciiTheme="majorHAnsi" w:hAnsiTheme="majorHAnsi" w:cstheme="majorHAnsi"/>
          <w:sz w:val="24"/>
          <w:szCs w:val="24"/>
        </w:rPr>
      </w:pPr>
    </w:p>
    <w:p w14:paraId="15C6EE66" w14:textId="77777777" w:rsidR="000240B0" w:rsidRDefault="000240B0" w:rsidP="00C81941">
      <w:pPr>
        <w:pStyle w:val="Normal-TJTR"/>
        <w:spacing w:after="360"/>
        <w:jc w:val="right"/>
        <w:rPr>
          <w:rFonts w:asciiTheme="majorHAnsi" w:hAnsiTheme="majorHAnsi" w:cstheme="majorHAnsi"/>
          <w:sz w:val="24"/>
          <w:szCs w:val="24"/>
        </w:rPr>
      </w:pPr>
    </w:p>
    <w:sdt>
      <w:sdtPr>
        <w:rPr>
          <w:rFonts w:ascii="Calibri" w:hAnsi="Calibri" w:cs="Times New Roman"/>
          <w:b w:val="0"/>
          <w:bCs w:val="0"/>
          <w:noProof w:val="0"/>
          <w:sz w:val="22"/>
          <w:szCs w:val="22"/>
        </w:rPr>
        <w:id w:val="528603299"/>
        <w:docPartObj>
          <w:docPartGallery w:val="Table of Contents"/>
          <w:docPartUnique/>
        </w:docPartObj>
      </w:sdtPr>
      <w:sdtEndPr>
        <w:rPr>
          <w:rFonts w:asciiTheme="majorHAnsi" w:hAnsiTheme="majorHAnsi" w:cstheme="majorHAnsi"/>
        </w:rPr>
      </w:sdtEndPr>
      <w:sdtContent>
        <w:p w14:paraId="6E8EC9CD" w14:textId="324E3515" w:rsidR="00687949" w:rsidRPr="00687949" w:rsidRDefault="003632D8">
          <w:pPr>
            <w:pStyle w:val="Sumrio1"/>
            <w:rPr>
              <w:rFonts w:eastAsiaTheme="minorEastAsia"/>
              <w:b w:val="0"/>
              <w:bCs w:val="0"/>
              <w:kern w:val="2"/>
              <w:sz w:val="22"/>
              <w:szCs w:val="22"/>
              <w:lang w:eastAsia="pt-BR"/>
              <w14:ligatures w14:val="standardContextual"/>
            </w:rPr>
          </w:pPr>
          <w:r w:rsidRPr="00687949">
            <w:rPr>
              <w:sz w:val="22"/>
              <w:szCs w:val="22"/>
            </w:rPr>
            <w:fldChar w:fldCharType="begin"/>
          </w:r>
          <w:r w:rsidRPr="00687949">
            <w:rPr>
              <w:sz w:val="22"/>
              <w:szCs w:val="22"/>
            </w:rPr>
            <w:instrText xml:space="preserve"> TOC \o "1-3" \h \z \u </w:instrText>
          </w:r>
          <w:r w:rsidRPr="00687949">
            <w:rPr>
              <w:sz w:val="22"/>
              <w:szCs w:val="22"/>
            </w:rPr>
            <w:fldChar w:fldCharType="separate"/>
          </w:r>
          <w:hyperlink w:anchor="_Toc142556179" w:history="1">
            <w:r w:rsidR="00687949" w:rsidRPr="00687949">
              <w:rPr>
                <w:rStyle w:val="Hyperlink"/>
                <w:sz w:val="22"/>
                <w:szCs w:val="22"/>
              </w:rPr>
              <w:t>TERMO DE JUSTIFICATIVAS TÉCNICAS RELEVANTES</w:t>
            </w:r>
            <w:r w:rsidR="00687949" w:rsidRPr="00687949">
              <w:rPr>
                <w:webHidden/>
                <w:sz w:val="22"/>
                <w:szCs w:val="22"/>
              </w:rPr>
              <w:tab/>
            </w:r>
            <w:r w:rsidR="00687949" w:rsidRPr="00687949">
              <w:rPr>
                <w:webHidden/>
                <w:sz w:val="22"/>
                <w:szCs w:val="22"/>
              </w:rPr>
              <w:fldChar w:fldCharType="begin"/>
            </w:r>
            <w:r w:rsidR="00687949" w:rsidRPr="00687949">
              <w:rPr>
                <w:webHidden/>
                <w:sz w:val="22"/>
                <w:szCs w:val="22"/>
              </w:rPr>
              <w:instrText xml:space="preserve"> PAGEREF _Toc142556179 \h </w:instrText>
            </w:r>
            <w:r w:rsidR="00687949" w:rsidRPr="00687949">
              <w:rPr>
                <w:webHidden/>
                <w:sz w:val="22"/>
                <w:szCs w:val="22"/>
              </w:rPr>
            </w:r>
            <w:r w:rsidR="00687949" w:rsidRPr="00687949">
              <w:rPr>
                <w:webHidden/>
                <w:sz w:val="22"/>
                <w:szCs w:val="22"/>
              </w:rPr>
              <w:fldChar w:fldCharType="separate"/>
            </w:r>
            <w:r w:rsidR="001E704A">
              <w:rPr>
                <w:webHidden/>
                <w:sz w:val="22"/>
                <w:szCs w:val="22"/>
              </w:rPr>
              <w:t>1</w:t>
            </w:r>
            <w:r w:rsidR="00687949" w:rsidRPr="00687949">
              <w:rPr>
                <w:webHidden/>
                <w:sz w:val="22"/>
                <w:szCs w:val="22"/>
              </w:rPr>
              <w:fldChar w:fldCharType="end"/>
            </w:r>
          </w:hyperlink>
        </w:p>
        <w:p w14:paraId="76E0A758" w14:textId="7BD4E91C" w:rsidR="00687949" w:rsidRPr="00687949" w:rsidRDefault="001E704A">
          <w:pPr>
            <w:pStyle w:val="Sumrio1"/>
            <w:rPr>
              <w:rFonts w:eastAsiaTheme="minorEastAsia"/>
              <w:b w:val="0"/>
              <w:bCs w:val="0"/>
              <w:kern w:val="2"/>
              <w:sz w:val="22"/>
              <w:szCs w:val="22"/>
              <w:lang w:eastAsia="pt-BR"/>
              <w14:ligatures w14:val="standardContextual"/>
            </w:rPr>
          </w:pPr>
          <w:hyperlink w:anchor="_Toc142556180" w:history="1">
            <w:r w:rsidR="00687949" w:rsidRPr="00687949">
              <w:rPr>
                <w:rStyle w:val="Hyperlink"/>
                <w:sz w:val="22"/>
                <w:szCs w:val="22"/>
              </w:rPr>
              <w:t>SUMÁRIO</w:t>
            </w:r>
            <w:r w:rsidR="00687949" w:rsidRPr="00687949">
              <w:rPr>
                <w:webHidden/>
                <w:sz w:val="22"/>
                <w:szCs w:val="22"/>
              </w:rPr>
              <w:tab/>
            </w:r>
            <w:r w:rsidR="00687949" w:rsidRPr="00687949">
              <w:rPr>
                <w:webHidden/>
                <w:sz w:val="22"/>
                <w:szCs w:val="22"/>
              </w:rPr>
              <w:fldChar w:fldCharType="begin"/>
            </w:r>
            <w:r w:rsidR="00687949" w:rsidRPr="00687949">
              <w:rPr>
                <w:webHidden/>
                <w:sz w:val="22"/>
                <w:szCs w:val="22"/>
              </w:rPr>
              <w:instrText xml:space="preserve"> PAGEREF _Toc142556180 \h </w:instrText>
            </w:r>
            <w:r w:rsidR="00687949" w:rsidRPr="00687949">
              <w:rPr>
                <w:webHidden/>
                <w:sz w:val="22"/>
                <w:szCs w:val="22"/>
              </w:rPr>
            </w:r>
            <w:r w:rsidR="00687949" w:rsidRPr="00687949">
              <w:rPr>
                <w:webHidden/>
                <w:sz w:val="22"/>
                <w:szCs w:val="22"/>
              </w:rPr>
              <w:fldChar w:fldCharType="separate"/>
            </w:r>
            <w:r>
              <w:rPr>
                <w:webHidden/>
                <w:sz w:val="22"/>
                <w:szCs w:val="22"/>
              </w:rPr>
              <w:t>2</w:t>
            </w:r>
            <w:r w:rsidR="00687949" w:rsidRPr="00687949">
              <w:rPr>
                <w:webHidden/>
                <w:sz w:val="22"/>
                <w:szCs w:val="22"/>
              </w:rPr>
              <w:fldChar w:fldCharType="end"/>
            </w:r>
          </w:hyperlink>
        </w:p>
        <w:p w14:paraId="2380CE23" w14:textId="3E0A9A3A" w:rsidR="00687949" w:rsidRPr="00687949" w:rsidRDefault="001E704A">
          <w:pPr>
            <w:pStyle w:val="Sumrio1"/>
            <w:rPr>
              <w:rFonts w:eastAsiaTheme="minorEastAsia"/>
              <w:b w:val="0"/>
              <w:bCs w:val="0"/>
              <w:kern w:val="2"/>
              <w:sz w:val="22"/>
              <w:szCs w:val="22"/>
              <w:lang w:eastAsia="pt-BR"/>
              <w14:ligatures w14:val="standardContextual"/>
            </w:rPr>
          </w:pPr>
          <w:hyperlink w:anchor="_Toc142556181" w:history="1">
            <w:r w:rsidR="00687949" w:rsidRPr="00687949">
              <w:rPr>
                <w:rStyle w:val="Hyperlink"/>
                <w:sz w:val="22"/>
                <w:szCs w:val="22"/>
              </w:rPr>
              <w:t>DECLARAÇÕES E JUSTIFICATIVAS TÉCNICAS</w:t>
            </w:r>
            <w:r w:rsidR="00687949" w:rsidRPr="00687949">
              <w:rPr>
                <w:webHidden/>
                <w:sz w:val="22"/>
                <w:szCs w:val="22"/>
              </w:rPr>
              <w:tab/>
            </w:r>
            <w:r w:rsidR="00687949" w:rsidRPr="00687949">
              <w:rPr>
                <w:webHidden/>
                <w:sz w:val="22"/>
                <w:szCs w:val="22"/>
              </w:rPr>
              <w:fldChar w:fldCharType="begin"/>
            </w:r>
            <w:r w:rsidR="00687949" w:rsidRPr="00687949">
              <w:rPr>
                <w:webHidden/>
                <w:sz w:val="22"/>
                <w:szCs w:val="22"/>
              </w:rPr>
              <w:instrText xml:space="preserve"> PAGEREF _Toc142556181 \h </w:instrText>
            </w:r>
            <w:r w:rsidR="00687949" w:rsidRPr="00687949">
              <w:rPr>
                <w:webHidden/>
                <w:sz w:val="22"/>
                <w:szCs w:val="22"/>
              </w:rPr>
            </w:r>
            <w:r w:rsidR="00687949" w:rsidRPr="00687949">
              <w:rPr>
                <w:webHidden/>
                <w:sz w:val="22"/>
                <w:szCs w:val="22"/>
              </w:rPr>
              <w:fldChar w:fldCharType="separate"/>
            </w:r>
            <w:r>
              <w:rPr>
                <w:webHidden/>
                <w:sz w:val="22"/>
                <w:szCs w:val="22"/>
              </w:rPr>
              <w:t>4</w:t>
            </w:r>
            <w:r w:rsidR="00687949" w:rsidRPr="00687949">
              <w:rPr>
                <w:webHidden/>
                <w:sz w:val="22"/>
                <w:szCs w:val="22"/>
              </w:rPr>
              <w:fldChar w:fldCharType="end"/>
            </w:r>
          </w:hyperlink>
        </w:p>
        <w:p w14:paraId="1F70CF3C" w14:textId="146429BE" w:rsidR="00687949" w:rsidRPr="00687949" w:rsidRDefault="001E704A">
          <w:pPr>
            <w:pStyle w:val="Sumrio2"/>
            <w:rPr>
              <w:rFonts w:asciiTheme="majorHAnsi" w:eastAsiaTheme="minorEastAsia" w:hAnsiTheme="majorHAnsi"/>
              <w:kern w:val="2"/>
              <w:lang w:eastAsia="pt-BR"/>
              <w14:ligatures w14:val="standardContextual"/>
            </w:rPr>
          </w:pPr>
          <w:hyperlink w:anchor="_Toc142556182" w:history="1">
            <w:r w:rsidR="00687949" w:rsidRPr="00687949">
              <w:rPr>
                <w:rStyle w:val="Hyperlink"/>
                <w:rFonts w:asciiTheme="majorHAnsi" w:hAnsiTheme="majorHAnsi"/>
              </w:rPr>
              <w:t>1.</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ENQUADRAMENTO DO OBJETO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_Toc142556182 \h </w:instrText>
            </w:r>
            <w:r w:rsidR="00687949" w:rsidRPr="00687949">
              <w:rPr>
                <w:rFonts w:asciiTheme="majorHAnsi" w:hAnsiTheme="majorHAnsi"/>
                <w:webHidden/>
              </w:rPr>
            </w:r>
            <w:r w:rsidR="00687949" w:rsidRPr="00687949">
              <w:rPr>
                <w:rFonts w:asciiTheme="majorHAnsi" w:hAnsiTheme="majorHAnsi"/>
                <w:webHidden/>
              </w:rPr>
              <w:fldChar w:fldCharType="separate"/>
            </w:r>
            <w:r>
              <w:rPr>
                <w:rFonts w:asciiTheme="majorHAnsi" w:hAnsiTheme="majorHAnsi"/>
                <w:webHidden/>
              </w:rPr>
              <w:t>4</w:t>
            </w:r>
            <w:r w:rsidR="00687949" w:rsidRPr="00687949">
              <w:rPr>
                <w:rFonts w:asciiTheme="majorHAnsi" w:hAnsiTheme="majorHAnsi"/>
                <w:webHidden/>
              </w:rPr>
              <w:fldChar w:fldCharType="end"/>
            </w:r>
          </w:hyperlink>
        </w:p>
        <w:p w14:paraId="45CB0551" w14:textId="228041EC" w:rsidR="00687949" w:rsidRPr="00687949" w:rsidRDefault="001E704A">
          <w:pPr>
            <w:pStyle w:val="Sumrio3"/>
            <w:tabs>
              <w:tab w:val="right" w:leader="dot" w:pos="9060"/>
            </w:tabs>
            <w:rPr>
              <w:rFonts w:asciiTheme="majorHAnsi" w:eastAsiaTheme="minorEastAsia" w:hAnsiTheme="majorHAnsi" w:cstheme="majorHAnsi"/>
              <w:noProof/>
              <w:kern w:val="2"/>
              <w:lang w:eastAsia="pt-BR"/>
              <w14:ligatures w14:val="standardContextual"/>
            </w:rPr>
          </w:pPr>
          <w:hyperlink w:anchor="_Toc142556183" w:history="1">
            <w:r w:rsidR="00687949" w:rsidRPr="00687949">
              <w:rPr>
                <w:rStyle w:val="Hyperlink"/>
                <w:rFonts w:asciiTheme="majorHAnsi" w:hAnsiTheme="majorHAnsi" w:cstheme="majorHAnsi"/>
                <w:noProof/>
              </w:rPr>
              <w:t>1.1. Classificação como obra ou serviço de engenharia</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_Toc142556183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Pr>
                <w:rFonts w:asciiTheme="majorHAnsi" w:hAnsiTheme="majorHAnsi" w:cstheme="majorHAnsi"/>
                <w:noProof/>
                <w:webHidden/>
              </w:rPr>
              <w:t>4</w:t>
            </w:r>
            <w:r w:rsidR="00687949" w:rsidRPr="00687949">
              <w:rPr>
                <w:rFonts w:asciiTheme="majorHAnsi" w:hAnsiTheme="majorHAnsi" w:cstheme="majorHAnsi"/>
                <w:noProof/>
                <w:webHidden/>
              </w:rPr>
              <w:fldChar w:fldCharType="end"/>
            </w:r>
          </w:hyperlink>
        </w:p>
        <w:p w14:paraId="1897CA12" w14:textId="6772D4BD" w:rsidR="00687949" w:rsidRPr="00687949" w:rsidRDefault="001E704A">
          <w:pPr>
            <w:pStyle w:val="Sumrio3"/>
            <w:tabs>
              <w:tab w:val="right" w:leader="dot" w:pos="9060"/>
            </w:tabs>
            <w:rPr>
              <w:rFonts w:asciiTheme="majorHAnsi" w:eastAsiaTheme="minorEastAsia" w:hAnsiTheme="majorHAnsi" w:cstheme="majorHAnsi"/>
              <w:noProof/>
              <w:kern w:val="2"/>
              <w:lang w:eastAsia="pt-BR"/>
              <w14:ligatures w14:val="standardContextual"/>
            </w:rPr>
          </w:pPr>
          <w:hyperlink w:anchor="_Toc142556184" w:history="1">
            <w:r w:rsidR="00687949" w:rsidRPr="00687949">
              <w:rPr>
                <w:rStyle w:val="Hyperlink"/>
                <w:rFonts w:asciiTheme="majorHAnsi" w:hAnsiTheme="majorHAnsi" w:cstheme="majorHAnsi"/>
                <w:noProof/>
              </w:rPr>
              <w:t>1.2. Classificação como serviço comum ou especial</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_Toc142556184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Pr>
                <w:rFonts w:asciiTheme="majorHAnsi" w:hAnsiTheme="majorHAnsi" w:cstheme="majorHAnsi"/>
                <w:noProof/>
                <w:webHidden/>
              </w:rPr>
              <w:t>4</w:t>
            </w:r>
            <w:r w:rsidR="00687949" w:rsidRPr="00687949">
              <w:rPr>
                <w:rFonts w:asciiTheme="majorHAnsi" w:hAnsiTheme="majorHAnsi" w:cstheme="majorHAnsi"/>
                <w:noProof/>
                <w:webHidden/>
              </w:rPr>
              <w:fldChar w:fldCharType="end"/>
            </w:r>
          </w:hyperlink>
        </w:p>
        <w:p w14:paraId="122FDF9F" w14:textId="4500E55D" w:rsidR="00687949" w:rsidRPr="00687949" w:rsidRDefault="001E704A">
          <w:pPr>
            <w:pStyle w:val="Sumrio2"/>
            <w:rPr>
              <w:rFonts w:asciiTheme="majorHAnsi" w:eastAsiaTheme="minorEastAsia" w:hAnsiTheme="majorHAnsi"/>
              <w:kern w:val="2"/>
              <w:lang w:eastAsia="pt-BR"/>
              <w14:ligatures w14:val="standardContextual"/>
            </w:rPr>
          </w:pPr>
          <w:hyperlink w:anchor="_Toc142556185" w:history="1">
            <w:r w:rsidR="00687949" w:rsidRPr="00687949">
              <w:rPr>
                <w:rStyle w:val="Hyperlink"/>
                <w:rFonts w:asciiTheme="majorHAnsi" w:hAnsiTheme="majorHAnsi"/>
              </w:rPr>
              <w:t>2.</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REGIMES DE EXECUÇÃO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_Toc142556185 \h </w:instrText>
            </w:r>
            <w:r w:rsidR="00687949" w:rsidRPr="00687949">
              <w:rPr>
                <w:rFonts w:asciiTheme="majorHAnsi" w:hAnsiTheme="majorHAnsi"/>
                <w:webHidden/>
              </w:rPr>
            </w:r>
            <w:r w:rsidR="00687949" w:rsidRPr="00687949">
              <w:rPr>
                <w:rFonts w:asciiTheme="majorHAnsi" w:hAnsiTheme="majorHAnsi"/>
                <w:webHidden/>
              </w:rPr>
              <w:fldChar w:fldCharType="separate"/>
            </w:r>
            <w:r>
              <w:rPr>
                <w:rFonts w:asciiTheme="majorHAnsi" w:hAnsiTheme="majorHAnsi"/>
                <w:webHidden/>
              </w:rPr>
              <w:t>4</w:t>
            </w:r>
            <w:r w:rsidR="00687949" w:rsidRPr="00687949">
              <w:rPr>
                <w:rFonts w:asciiTheme="majorHAnsi" w:hAnsiTheme="majorHAnsi"/>
                <w:webHidden/>
              </w:rPr>
              <w:fldChar w:fldCharType="end"/>
            </w:r>
          </w:hyperlink>
        </w:p>
        <w:p w14:paraId="51A28A63" w14:textId="21F5E138" w:rsidR="00687949" w:rsidRPr="00687949" w:rsidRDefault="001E704A">
          <w:pPr>
            <w:pStyle w:val="Sumrio2"/>
            <w:rPr>
              <w:rFonts w:asciiTheme="majorHAnsi" w:eastAsiaTheme="minorEastAsia" w:hAnsiTheme="majorHAnsi"/>
              <w:kern w:val="2"/>
              <w:lang w:eastAsia="pt-BR"/>
              <w14:ligatures w14:val="standardContextual"/>
            </w:rPr>
          </w:pPr>
          <w:hyperlink w:anchor="_Toc142556186" w:history="1">
            <w:r w:rsidR="00687949" w:rsidRPr="00687949">
              <w:rPr>
                <w:rStyle w:val="Hyperlink"/>
                <w:rFonts w:asciiTheme="majorHAnsi" w:hAnsiTheme="majorHAnsi"/>
              </w:rPr>
              <w:t>3.</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ELABORAÇÃO DE PROJETOS / DOCUMENTOS TÉCNICOS POR PROFISSIONAL HABILITADO E COMPROVAÇÃO DE RESPONSABILIDADE TÉCNICA</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_Toc142556186 \h </w:instrText>
            </w:r>
            <w:r w:rsidR="00687949" w:rsidRPr="00687949">
              <w:rPr>
                <w:rFonts w:asciiTheme="majorHAnsi" w:hAnsiTheme="majorHAnsi"/>
                <w:webHidden/>
              </w:rPr>
            </w:r>
            <w:r w:rsidR="00687949" w:rsidRPr="00687949">
              <w:rPr>
                <w:rFonts w:asciiTheme="majorHAnsi" w:hAnsiTheme="majorHAnsi"/>
                <w:webHidden/>
              </w:rPr>
              <w:fldChar w:fldCharType="separate"/>
            </w:r>
            <w:r>
              <w:rPr>
                <w:rFonts w:asciiTheme="majorHAnsi" w:hAnsiTheme="majorHAnsi"/>
                <w:webHidden/>
              </w:rPr>
              <w:t>6</w:t>
            </w:r>
            <w:r w:rsidR="00687949" w:rsidRPr="00687949">
              <w:rPr>
                <w:rFonts w:asciiTheme="majorHAnsi" w:hAnsiTheme="majorHAnsi"/>
                <w:webHidden/>
              </w:rPr>
              <w:fldChar w:fldCharType="end"/>
            </w:r>
          </w:hyperlink>
        </w:p>
        <w:p w14:paraId="63A3D792" w14:textId="24D75D8A" w:rsidR="00687949" w:rsidRPr="00687949" w:rsidRDefault="001E704A">
          <w:pPr>
            <w:pStyle w:val="Sumrio2"/>
            <w:rPr>
              <w:rFonts w:asciiTheme="majorHAnsi" w:eastAsiaTheme="minorEastAsia" w:hAnsiTheme="majorHAnsi"/>
              <w:kern w:val="2"/>
              <w:lang w:eastAsia="pt-BR"/>
              <w14:ligatures w14:val="standardContextual"/>
            </w:rPr>
          </w:pPr>
          <w:hyperlink w:anchor="_Toc142556187" w:history="1">
            <w:r w:rsidR="00687949" w:rsidRPr="00687949">
              <w:rPr>
                <w:rStyle w:val="Hyperlink"/>
                <w:rFonts w:asciiTheme="majorHAnsi" w:hAnsiTheme="majorHAnsi"/>
              </w:rPr>
              <w:t>4.</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DEFINIÇÃO DOS CUSTOS UNITÁRIOS DE REFERÊNCIA</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_Toc142556187 \h </w:instrText>
            </w:r>
            <w:r w:rsidR="00687949" w:rsidRPr="00687949">
              <w:rPr>
                <w:rFonts w:asciiTheme="majorHAnsi" w:hAnsiTheme="majorHAnsi"/>
                <w:webHidden/>
              </w:rPr>
            </w:r>
            <w:r w:rsidR="00687949" w:rsidRPr="00687949">
              <w:rPr>
                <w:rFonts w:asciiTheme="majorHAnsi" w:hAnsiTheme="majorHAnsi"/>
                <w:webHidden/>
              </w:rPr>
              <w:fldChar w:fldCharType="separate"/>
            </w:r>
            <w:r>
              <w:rPr>
                <w:rFonts w:asciiTheme="majorHAnsi" w:hAnsiTheme="majorHAnsi"/>
                <w:webHidden/>
              </w:rPr>
              <w:t>6</w:t>
            </w:r>
            <w:r w:rsidR="00687949" w:rsidRPr="00687949">
              <w:rPr>
                <w:rFonts w:asciiTheme="majorHAnsi" w:hAnsiTheme="majorHAnsi"/>
                <w:webHidden/>
              </w:rPr>
              <w:fldChar w:fldCharType="end"/>
            </w:r>
          </w:hyperlink>
        </w:p>
        <w:p w14:paraId="1F91F38D" w14:textId="3C6B1D53" w:rsidR="00687949" w:rsidRPr="00687949" w:rsidRDefault="001E704A">
          <w:pPr>
            <w:pStyle w:val="Sumrio2"/>
            <w:rPr>
              <w:rFonts w:asciiTheme="majorHAnsi" w:eastAsiaTheme="minorEastAsia" w:hAnsiTheme="majorHAnsi"/>
              <w:kern w:val="2"/>
              <w:lang w:eastAsia="pt-BR"/>
              <w14:ligatures w14:val="standardContextual"/>
            </w:rPr>
          </w:pPr>
          <w:hyperlink w:anchor="_Toc142556188" w:history="1">
            <w:r w:rsidR="00687949" w:rsidRPr="00687949">
              <w:rPr>
                <w:rStyle w:val="Hyperlink"/>
                <w:rFonts w:asciiTheme="majorHAnsi" w:hAnsiTheme="majorHAnsi"/>
              </w:rPr>
              <w:t>5.</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ORÇAMENTO DETALHADO EM PLANILHAS DE CUSTOS UNITÁRIOS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_Toc142556188 \h </w:instrText>
            </w:r>
            <w:r w:rsidR="00687949" w:rsidRPr="00687949">
              <w:rPr>
                <w:rFonts w:asciiTheme="majorHAnsi" w:hAnsiTheme="majorHAnsi"/>
                <w:webHidden/>
              </w:rPr>
            </w:r>
            <w:r w:rsidR="00687949" w:rsidRPr="00687949">
              <w:rPr>
                <w:rFonts w:asciiTheme="majorHAnsi" w:hAnsiTheme="majorHAnsi"/>
                <w:webHidden/>
              </w:rPr>
              <w:fldChar w:fldCharType="separate"/>
            </w:r>
            <w:r>
              <w:rPr>
                <w:rFonts w:asciiTheme="majorHAnsi" w:hAnsiTheme="majorHAnsi"/>
                <w:webHidden/>
              </w:rPr>
              <w:t>7</w:t>
            </w:r>
            <w:r w:rsidR="00687949" w:rsidRPr="00687949">
              <w:rPr>
                <w:rFonts w:asciiTheme="majorHAnsi" w:hAnsiTheme="majorHAnsi"/>
                <w:webHidden/>
              </w:rPr>
              <w:fldChar w:fldCharType="end"/>
            </w:r>
          </w:hyperlink>
        </w:p>
        <w:p w14:paraId="3D393733" w14:textId="5AF7B4BD" w:rsidR="00687949" w:rsidRPr="00687949" w:rsidRDefault="001E704A">
          <w:pPr>
            <w:pStyle w:val="Sumrio2"/>
            <w:rPr>
              <w:rFonts w:asciiTheme="majorHAnsi" w:eastAsiaTheme="minorEastAsia" w:hAnsiTheme="majorHAnsi"/>
              <w:kern w:val="2"/>
              <w:lang w:eastAsia="pt-BR"/>
              <w14:ligatures w14:val="standardContextual"/>
            </w:rPr>
          </w:pPr>
          <w:hyperlink w:anchor="_Toc142556189" w:history="1">
            <w:r w:rsidR="00687949" w:rsidRPr="00687949">
              <w:rPr>
                <w:rStyle w:val="Hyperlink"/>
                <w:rFonts w:asciiTheme="majorHAnsi" w:hAnsiTheme="majorHAnsi"/>
              </w:rPr>
              <w:t>6.</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ELABORAÇÃO DAS COMPOSIÇÕES DE CUSTOS UNITÁRIOS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_Toc142556189 \h </w:instrText>
            </w:r>
            <w:r w:rsidR="00687949" w:rsidRPr="00687949">
              <w:rPr>
                <w:rFonts w:asciiTheme="majorHAnsi" w:hAnsiTheme="majorHAnsi"/>
                <w:webHidden/>
              </w:rPr>
            </w:r>
            <w:r w:rsidR="00687949" w:rsidRPr="00687949">
              <w:rPr>
                <w:rFonts w:asciiTheme="majorHAnsi" w:hAnsiTheme="majorHAnsi"/>
                <w:webHidden/>
              </w:rPr>
              <w:fldChar w:fldCharType="separate"/>
            </w:r>
            <w:r>
              <w:rPr>
                <w:rFonts w:asciiTheme="majorHAnsi" w:hAnsiTheme="majorHAnsi"/>
                <w:webHidden/>
              </w:rPr>
              <w:t>8</w:t>
            </w:r>
            <w:r w:rsidR="00687949" w:rsidRPr="00687949">
              <w:rPr>
                <w:rFonts w:asciiTheme="majorHAnsi" w:hAnsiTheme="majorHAnsi"/>
                <w:webHidden/>
              </w:rPr>
              <w:fldChar w:fldCharType="end"/>
            </w:r>
          </w:hyperlink>
        </w:p>
        <w:p w14:paraId="5707643C" w14:textId="2FB23C84" w:rsidR="00687949" w:rsidRPr="00687949" w:rsidRDefault="001E704A">
          <w:pPr>
            <w:pStyle w:val="Sumrio2"/>
            <w:rPr>
              <w:rFonts w:asciiTheme="majorHAnsi" w:eastAsiaTheme="minorEastAsia" w:hAnsiTheme="majorHAnsi"/>
              <w:kern w:val="2"/>
              <w:lang w:eastAsia="pt-BR"/>
              <w14:ligatures w14:val="standardContextual"/>
            </w:rPr>
          </w:pPr>
          <w:hyperlink w:anchor="_Toc142556190" w:history="1">
            <w:r w:rsidR="00687949" w:rsidRPr="00687949">
              <w:rPr>
                <w:rStyle w:val="Hyperlink"/>
                <w:rFonts w:asciiTheme="majorHAnsi" w:hAnsiTheme="majorHAnsi"/>
              </w:rPr>
              <w:t>7.</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CUSTOS DIRETOS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_Toc142556190 \h </w:instrText>
            </w:r>
            <w:r w:rsidR="00687949" w:rsidRPr="00687949">
              <w:rPr>
                <w:rFonts w:asciiTheme="majorHAnsi" w:hAnsiTheme="majorHAnsi"/>
                <w:webHidden/>
              </w:rPr>
            </w:r>
            <w:r w:rsidR="00687949" w:rsidRPr="00687949">
              <w:rPr>
                <w:rFonts w:asciiTheme="majorHAnsi" w:hAnsiTheme="majorHAnsi"/>
                <w:webHidden/>
              </w:rPr>
              <w:fldChar w:fldCharType="separate"/>
            </w:r>
            <w:r>
              <w:rPr>
                <w:rFonts w:asciiTheme="majorHAnsi" w:hAnsiTheme="majorHAnsi"/>
                <w:webHidden/>
              </w:rPr>
              <w:t>8</w:t>
            </w:r>
            <w:r w:rsidR="00687949" w:rsidRPr="00687949">
              <w:rPr>
                <w:rFonts w:asciiTheme="majorHAnsi" w:hAnsiTheme="majorHAnsi"/>
                <w:webHidden/>
              </w:rPr>
              <w:fldChar w:fldCharType="end"/>
            </w:r>
          </w:hyperlink>
        </w:p>
        <w:p w14:paraId="519D414A" w14:textId="193A6CAA" w:rsidR="00687949" w:rsidRPr="00687949" w:rsidRDefault="001E704A">
          <w:pPr>
            <w:pStyle w:val="Sumrio2"/>
            <w:rPr>
              <w:rFonts w:asciiTheme="majorHAnsi" w:eastAsiaTheme="minorEastAsia" w:hAnsiTheme="majorHAnsi"/>
              <w:kern w:val="2"/>
              <w:lang w:eastAsia="pt-BR"/>
              <w14:ligatures w14:val="standardContextual"/>
            </w:rPr>
          </w:pPr>
          <w:hyperlink w:anchor="_Toc142556191" w:history="1">
            <w:r w:rsidR="00687949" w:rsidRPr="00687949">
              <w:rPr>
                <w:rStyle w:val="Hyperlink"/>
                <w:rFonts w:asciiTheme="majorHAnsi" w:hAnsiTheme="majorHAnsi"/>
              </w:rPr>
              <w:t>8.</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ELABORAÇÃO DAS CURVAS ABC DOS SERVIÇOS E INSUMOS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_Toc142556191 \h </w:instrText>
            </w:r>
            <w:r w:rsidR="00687949" w:rsidRPr="00687949">
              <w:rPr>
                <w:rFonts w:asciiTheme="majorHAnsi" w:hAnsiTheme="majorHAnsi"/>
                <w:webHidden/>
              </w:rPr>
            </w:r>
            <w:r w:rsidR="00687949" w:rsidRPr="00687949">
              <w:rPr>
                <w:rFonts w:asciiTheme="majorHAnsi" w:hAnsiTheme="majorHAnsi"/>
                <w:webHidden/>
              </w:rPr>
              <w:fldChar w:fldCharType="separate"/>
            </w:r>
            <w:r>
              <w:rPr>
                <w:rFonts w:asciiTheme="majorHAnsi" w:hAnsiTheme="majorHAnsi"/>
                <w:webHidden/>
              </w:rPr>
              <w:t>10</w:t>
            </w:r>
            <w:r w:rsidR="00687949" w:rsidRPr="00687949">
              <w:rPr>
                <w:rFonts w:asciiTheme="majorHAnsi" w:hAnsiTheme="majorHAnsi"/>
                <w:webHidden/>
              </w:rPr>
              <w:fldChar w:fldCharType="end"/>
            </w:r>
          </w:hyperlink>
        </w:p>
        <w:p w14:paraId="18DE9884" w14:textId="29E915B1" w:rsidR="00687949" w:rsidRPr="00687949" w:rsidRDefault="001E704A">
          <w:pPr>
            <w:pStyle w:val="Sumrio2"/>
            <w:rPr>
              <w:rFonts w:asciiTheme="majorHAnsi" w:eastAsiaTheme="minorEastAsia" w:hAnsiTheme="majorHAnsi"/>
              <w:kern w:val="2"/>
              <w:lang w:eastAsia="pt-BR"/>
              <w14:ligatures w14:val="standardContextual"/>
            </w:rPr>
          </w:pPr>
          <w:hyperlink w:anchor="_Toc142556192" w:history="1">
            <w:r w:rsidR="00687949" w:rsidRPr="00687949">
              <w:rPr>
                <w:rStyle w:val="Hyperlink"/>
                <w:rFonts w:asciiTheme="majorHAnsi" w:hAnsiTheme="majorHAnsi"/>
              </w:rPr>
              <w:t>9.</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ADOÇÃO DO REGIME DE DESONERAÇÃO TRIBUTÁRIA</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_Toc142556192 \h </w:instrText>
            </w:r>
            <w:r w:rsidR="00687949" w:rsidRPr="00687949">
              <w:rPr>
                <w:rFonts w:asciiTheme="majorHAnsi" w:hAnsiTheme="majorHAnsi"/>
                <w:webHidden/>
              </w:rPr>
            </w:r>
            <w:r w:rsidR="00687949" w:rsidRPr="00687949">
              <w:rPr>
                <w:rFonts w:asciiTheme="majorHAnsi" w:hAnsiTheme="majorHAnsi"/>
                <w:webHidden/>
              </w:rPr>
              <w:fldChar w:fldCharType="separate"/>
            </w:r>
            <w:r>
              <w:rPr>
                <w:rFonts w:asciiTheme="majorHAnsi" w:hAnsiTheme="majorHAnsi"/>
                <w:webHidden/>
              </w:rPr>
              <w:t>10</w:t>
            </w:r>
            <w:r w:rsidR="00687949" w:rsidRPr="00687949">
              <w:rPr>
                <w:rFonts w:asciiTheme="majorHAnsi" w:hAnsiTheme="majorHAnsi"/>
                <w:webHidden/>
              </w:rPr>
              <w:fldChar w:fldCharType="end"/>
            </w:r>
          </w:hyperlink>
        </w:p>
        <w:p w14:paraId="2E8DB142" w14:textId="74CFBA07" w:rsidR="00687949" w:rsidRPr="00687949" w:rsidRDefault="001E704A">
          <w:pPr>
            <w:pStyle w:val="Sumrio2"/>
            <w:rPr>
              <w:rFonts w:asciiTheme="majorHAnsi" w:eastAsiaTheme="minorEastAsia" w:hAnsiTheme="majorHAnsi"/>
              <w:kern w:val="2"/>
              <w:lang w:eastAsia="pt-BR"/>
              <w14:ligatures w14:val="standardContextual"/>
            </w:rPr>
          </w:pPr>
          <w:hyperlink w:anchor="_Toc142556193" w:history="1">
            <w:r w:rsidR="00687949" w:rsidRPr="00687949">
              <w:rPr>
                <w:rStyle w:val="Hyperlink"/>
                <w:rFonts w:asciiTheme="majorHAnsi" w:hAnsiTheme="majorHAnsi"/>
              </w:rPr>
              <w:t>10.</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DETALHAMENTO DA COMPOSIÇÃO DO PERCENTUAL DE BDI</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_Toc142556193 \h </w:instrText>
            </w:r>
            <w:r w:rsidR="00687949" w:rsidRPr="00687949">
              <w:rPr>
                <w:rFonts w:asciiTheme="majorHAnsi" w:hAnsiTheme="majorHAnsi"/>
                <w:webHidden/>
              </w:rPr>
            </w:r>
            <w:r w:rsidR="00687949" w:rsidRPr="00687949">
              <w:rPr>
                <w:rFonts w:asciiTheme="majorHAnsi" w:hAnsiTheme="majorHAnsi"/>
                <w:webHidden/>
              </w:rPr>
              <w:fldChar w:fldCharType="separate"/>
            </w:r>
            <w:r>
              <w:rPr>
                <w:rFonts w:asciiTheme="majorHAnsi" w:hAnsiTheme="majorHAnsi"/>
                <w:webHidden/>
              </w:rPr>
              <w:t>10</w:t>
            </w:r>
            <w:r w:rsidR="00687949" w:rsidRPr="00687949">
              <w:rPr>
                <w:rFonts w:asciiTheme="majorHAnsi" w:hAnsiTheme="majorHAnsi"/>
                <w:webHidden/>
              </w:rPr>
              <w:fldChar w:fldCharType="end"/>
            </w:r>
          </w:hyperlink>
        </w:p>
        <w:p w14:paraId="0CD5F863" w14:textId="5D406519" w:rsidR="00687949" w:rsidRPr="00687949" w:rsidRDefault="001E704A">
          <w:pPr>
            <w:pStyle w:val="Sumrio2"/>
            <w:rPr>
              <w:rFonts w:asciiTheme="majorHAnsi" w:eastAsiaTheme="minorEastAsia" w:hAnsiTheme="majorHAnsi"/>
              <w:kern w:val="2"/>
              <w:lang w:eastAsia="pt-BR"/>
              <w14:ligatures w14:val="standardContextual"/>
            </w:rPr>
          </w:pPr>
          <w:hyperlink w:anchor="_Toc142556194" w:history="1">
            <w:r w:rsidR="00687949" w:rsidRPr="00687949">
              <w:rPr>
                <w:rStyle w:val="Hyperlink"/>
                <w:rFonts w:asciiTheme="majorHAnsi" w:hAnsiTheme="majorHAnsi"/>
              </w:rPr>
              <w:t>11.</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BDI REDUZIDO SOBRE OS CUSTOS DOS MATERIAIS E EQUIPAMENTOS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_Toc142556194 \h </w:instrText>
            </w:r>
            <w:r w:rsidR="00687949" w:rsidRPr="00687949">
              <w:rPr>
                <w:rFonts w:asciiTheme="majorHAnsi" w:hAnsiTheme="majorHAnsi"/>
                <w:webHidden/>
              </w:rPr>
            </w:r>
            <w:r w:rsidR="00687949" w:rsidRPr="00687949">
              <w:rPr>
                <w:rFonts w:asciiTheme="majorHAnsi" w:hAnsiTheme="majorHAnsi"/>
                <w:webHidden/>
              </w:rPr>
              <w:fldChar w:fldCharType="separate"/>
            </w:r>
            <w:r>
              <w:rPr>
                <w:rFonts w:asciiTheme="majorHAnsi" w:hAnsiTheme="majorHAnsi"/>
                <w:webHidden/>
              </w:rPr>
              <w:t>11</w:t>
            </w:r>
            <w:r w:rsidR="00687949" w:rsidRPr="00687949">
              <w:rPr>
                <w:rFonts w:asciiTheme="majorHAnsi" w:hAnsiTheme="majorHAnsi"/>
                <w:webHidden/>
              </w:rPr>
              <w:fldChar w:fldCharType="end"/>
            </w:r>
          </w:hyperlink>
        </w:p>
        <w:p w14:paraId="07A6A56A" w14:textId="08572154" w:rsidR="00687949" w:rsidRPr="00687949" w:rsidRDefault="001E704A">
          <w:pPr>
            <w:pStyle w:val="Sumrio2"/>
            <w:rPr>
              <w:rFonts w:asciiTheme="majorHAnsi" w:eastAsiaTheme="minorEastAsia" w:hAnsiTheme="majorHAnsi"/>
              <w:kern w:val="2"/>
              <w:lang w:eastAsia="pt-BR"/>
              <w14:ligatures w14:val="standardContextual"/>
            </w:rPr>
          </w:pPr>
          <w:hyperlink w:anchor="_Toc142556195" w:history="1">
            <w:r w:rsidR="00687949" w:rsidRPr="00687949">
              <w:rPr>
                <w:rStyle w:val="Hyperlink"/>
                <w:rFonts w:asciiTheme="majorHAnsi" w:hAnsiTheme="majorHAnsi"/>
              </w:rPr>
              <w:t>12.</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ELABORAÇÃO DE CRONOGRAMA FÍSICO-FINANCEIRO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_Toc142556195 \h </w:instrText>
            </w:r>
            <w:r w:rsidR="00687949" w:rsidRPr="00687949">
              <w:rPr>
                <w:rFonts w:asciiTheme="majorHAnsi" w:hAnsiTheme="majorHAnsi"/>
                <w:webHidden/>
              </w:rPr>
            </w:r>
            <w:r w:rsidR="00687949" w:rsidRPr="00687949">
              <w:rPr>
                <w:rFonts w:asciiTheme="majorHAnsi" w:hAnsiTheme="majorHAnsi"/>
                <w:webHidden/>
              </w:rPr>
              <w:fldChar w:fldCharType="separate"/>
            </w:r>
            <w:r>
              <w:rPr>
                <w:rFonts w:asciiTheme="majorHAnsi" w:hAnsiTheme="majorHAnsi"/>
                <w:webHidden/>
              </w:rPr>
              <w:t>12</w:t>
            </w:r>
            <w:r w:rsidR="00687949" w:rsidRPr="00687949">
              <w:rPr>
                <w:rFonts w:asciiTheme="majorHAnsi" w:hAnsiTheme="majorHAnsi"/>
                <w:webHidden/>
              </w:rPr>
              <w:fldChar w:fldCharType="end"/>
            </w:r>
          </w:hyperlink>
        </w:p>
        <w:p w14:paraId="1F2496DF" w14:textId="3071CD4E" w:rsidR="00687949" w:rsidRPr="00687949" w:rsidRDefault="001E704A">
          <w:pPr>
            <w:pStyle w:val="Sumrio2"/>
            <w:rPr>
              <w:rFonts w:asciiTheme="majorHAnsi" w:eastAsiaTheme="minorEastAsia" w:hAnsiTheme="majorHAnsi"/>
              <w:kern w:val="2"/>
              <w:lang w:eastAsia="pt-BR"/>
              <w14:ligatures w14:val="standardContextual"/>
            </w:rPr>
          </w:pPr>
          <w:hyperlink w:anchor="_Toc142556196" w:history="1">
            <w:r w:rsidR="00687949" w:rsidRPr="00687949">
              <w:rPr>
                <w:rStyle w:val="Hyperlink"/>
                <w:rFonts w:asciiTheme="majorHAnsi" w:hAnsiTheme="majorHAnsi"/>
              </w:rPr>
              <w:t>13.</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PROJETO EXECUTIVO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_Toc142556196 \h </w:instrText>
            </w:r>
            <w:r w:rsidR="00687949" w:rsidRPr="00687949">
              <w:rPr>
                <w:rFonts w:asciiTheme="majorHAnsi" w:hAnsiTheme="majorHAnsi"/>
                <w:webHidden/>
              </w:rPr>
            </w:r>
            <w:r w:rsidR="00687949" w:rsidRPr="00687949">
              <w:rPr>
                <w:rFonts w:asciiTheme="majorHAnsi" w:hAnsiTheme="majorHAnsi"/>
                <w:webHidden/>
              </w:rPr>
              <w:fldChar w:fldCharType="separate"/>
            </w:r>
            <w:r>
              <w:rPr>
                <w:rFonts w:asciiTheme="majorHAnsi" w:hAnsiTheme="majorHAnsi"/>
                <w:webHidden/>
              </w:rPr>
              <w:t>13</w:t>
            </w:r>
            <w:r w:rsidR="00687949" w:rsidRPr="00687949">
              <w:rPr>
                <w:rFonts w:asciiTheme="majorHAnsi" w:hAnsiTheme="majorHAnsi"/>
                <w:webHidden/>
              </w:rPr>
              <w:fldChar w:fldCharType="end"/>
            </w:r>
          </w:hyperlink>
        </w:p>
        <w:p w14:paraId="59BCA7CD" w14:textId="1491F089" w:rsidR="00687949" w:rsidRPr="00687949" w:rsidRDefault="001E704A">
          <w:pPr>
            <w:pStyle w:val="Sumrio2"/>
            <w:rPr>
              <w:rFonts w:asciiTheme="majorHAnsi" w:eastAsiaTheme="minorEastAsia" w:hAnsiTheme="majorHAnsi"/>
              <w:kern w:val="2"/>
              <w:lang w:eastAsia="pt-BR"/>
              <w14:ligatures w14:val="standardContextual"/>
            </w:rPr>
          </w:pPr>
          <w:hyperlink w:anchor="_Toc142556197" w:history="1">
            <w:r w:rsidR="00687949" w:rsidRPr="00687949">
              <w:rPr>
                <w:rStyle w:val="Hyperlink"/>
                <w:rFonts w:asciiTheme="majorHAnsi" w:hAnsiTheme="majorHAnsi"/>
              </w:rPr>
              <w:t>14.</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QUALIFICAÇÃO TÉCNICA</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_Toc142556197 \h </w:instrText>
            </w:r>
            <w:r w:rsidR="00687949" w:rsidRPr="00687949">
              <w:rPr>
                <w:rFonts w:asciiTheme="majorHAnsi" w:hAnsiTheme="majorHAnsi"/>
                <w:webHidden/>
              </w:rPr>
            </w:r>
            <w:r w:rsidR="00687949" w:rsidRPr="00687949">
              <w:rPr>
                <w:rFonts w:asciiTheme="majorHAnsi" w:hAnsiTheme="majorHAnsi"/>
                <w:webHidden/>
              </w:rPr>
              <w:fldChar w:fldCharType="separate"/>
            </w:r>
            <w:r>
              <w:rPr>
                <w:rFonts w:asciiTheme="majorHAnsi" w:hAnsiTheme="majorHAnsi"/>
                <w:webHidden/>
              </w:rPr>
              <w:t>13</w:t>
            </w:r>
            <w:r w:rsidR="00687949" w:rsidRPr="00687949">
              <w:rPr>
                <w:rFonts w:asciiTheme="majorHAnsi" w:hAnsiTheme="majorHAnsi"/>
                <w:webHidden/>
              </w:rPr>
              <w:fldChar w:fldCharType="end"/>
            </w:r>
          </w:hyperlink>
        </w:p>
        <w:p w14:paraId="357E458E" w14:textId="5C64E264" w:rsidR="00687949" w:rsidRPr="00687949" w:rsidRDefault="001E704A">
          <w:pPr>
            <w:pStyle w:val="Sumrio2"/>
            <w:rPr>
              <w:rFonts w:asciiTheme="majorHAnsi" w:eastAsiaTheme="minorEastAsia" w:hAnsiTheme="majorHAnsi"/>
              <w:kern w:val="2"/>
              <w:lang w:eastAsia="pt-BR"/>
              <w14:ligatures w14:val="standardContextual"/>
            </w:rPr>
          </w:pPr>
          <w:hyperlink w:anchor="_Toc142556198" w:history="1">
            <w:r w:rsidR="00687949" w:rsidRPr="00687949">
              <w:rPr>
                <w:rStyle w:val="Hyperlink"/>
                <w:rFonts w:asciiTheme="majorHAnsi" w:hAnsiTheme="majorHAnsi"/>
              </w:rPr>
              <w:t>15.</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VISTORIA</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_Toc142556198 \h </w:instrText>
            </w:r>
            <w:r w:rsidR="00687949" w:rsidRPr="00687949">
              <w:rPr>
                <w:rFonts w:asciiTheme="majorHAnsi" w:hAnsiTheme="majorHAnsi"/>
                <w:webHidden/>
              </w:rPr>
            </w:r>
            <w:r w:rsidR="00687949" w:rsidRPr="00687949">
              <w:rPr>
                <w:rFonts w:asciiTheme="majorHAnsi" w:hAnsiTheme="majorHAnsi"/>
                <w:webHidden/>
              </w:rPr>
              <w:fldChar w:fldCharType="separate"/>
            </w:r>
            <w:r>
              <w:rPr>
                <w:rFonts w:asciiTheme="majorHAnsi" w:hAnsiTheme="majorHAnsi"/>
                <w:webHidden/>
              </w:rPr>
              <w:t>15</w:t>
            </w:r>
            <w:r w:rsidR="00687949" w:rsidRPr="00687949">
              <w:rPr>
                <w:rFonts w:asciiTheme="majorHAnsi" w:hAnsiTheme="majorHAnsi"/>
                <w:webHidden/>
              </w:rPr>
              <w:fldChar w:fldCharType="end"/>
            </w:r>
          </w:hyperlink>
        </w:p>
        <w:p w14:paraId="483F2982" w14:textId="3A960CB3" w:rsidR="00687949" w:rsidRPr="00687949" w:rsidRDefault="001E704A">
          <w:pPr>
            <w:pStyle w:val="Sumrio2"/>
            <w:rPr>
              <w:rFonts w:asciiTheme="majorHAnsi" w:eastAsiaTheme="minorEastAsia" w:hAnsiTheme="majorHAnsi"/>
              <w:kern w:val="2"/>
              <w:lang w:eastAsia="pt-BR"/>
              <w14:ligatures w14:val="standardContextual"/>
            </w:rPr>
          </w:pPr>
          <w:hyperlink w:anchor="_Toc142556199" w:history="1">
            <w:r w:rsidR="00687949" w:rsidRPr="00687949">
              <w:rPr>
                <w:rStyle w:val="Hyperlink"/>
                <w:rFonts w:asciiTheme="majorHAnsi" w:hAnsiTheme="majorHAnsi"/>
              </w:rPr>
              <w:t>16.</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SUBCONTRATAÇÃO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_Toc142556199 \h </w:instrText>
            </w:r>
            <w:r w:rsidR="00687949" w:rsidRPr="00687949">
              <w:rPr>
                <w:rFonts w:asciiTheme="majorHAnsi" w:hAnsiTheme="majorHAnsi"/>
                <w:webHidden/>
              </w:rPr>
            </w:r>
            <w:r w:rsidR="00687949" w:rsidRPr="00687949">
              <w:rPr>
                <w:rFonts w:asciiTheme="majorHAnsi" w:hAnsiTheme="majorHAnsi"/>
                <w:webHidden/>
              </w:rPr>
              <w:fldChar w:fldCharType="separate"/>
            </w:r>
            <w:r>
              <w:rPr>
                <w:rFonts w:asciiTheme="majorHAnsi" w:hAnsiTheme="majorHAnsi"/>
                <w:webHidden/>
              </w:rPr>
              <w:t>16</w:t>
            </w:r>
            <w:r w:rsidR="00687949" w:rsidRPr="00687949">
              <w:rPr>
                <w:rFonts w:asciiTheme="majorHAnsi" w:hAnsiTheme="majorHAnsi"/>
                <w:webHidden/>
              </w:rPr>
              <w:fldChar w:fldCharType="end"/>
            </w:r>
          </w:hyperlink>
        </w:p>
        <w:p w14:paraId="3A2840A9" w14:textId="13F97EC9" w:rsidR="00687949" w:rsidRPr="00687949" w:rsidRDefault="001E704A">
          <w:pPr>
            <w:pStyle w:val="Sumrio2"/>
            <w:rPr>
              <w:rFonts w:asciiTheme="majorHAnsi" w:eastAsiaTheme="minorEastAsia" w:hAnsiTheme="majorHAnsi"/>
              <w:kern w:val="2"/>
              <w:lang w:eastAsia="pt-BR"/>
              <w14:ligatures w14:val="standardContextual"/>
            </w:rPr>
          </w:pPr>
          <w:hyperlink w:anchor="_Toc142556200" w:history="1">
            <w:r w:rsidR="00687949" w:rsidRPr="00687949">
              <w:rPr>
                <w:rStyle w:val="Hyperlink"/>
                <w:rFonts w:asciiTheme="majorHAnsi" w:hAnsiTheme="majorHAnsi"/>
              </w:rPr>
              <w:t>17.</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DEFINIÇÃO DO PERCENTUAL DE CAPITAL OU PATRIMÔNIO LÍQUIDO MÍNIMO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_Toc142556200 \h </w:instrText>
            </w:r>
            <w:r w:rsidR="00687949" w:rsidRPr="00687949">
              <w:rPr>
                <w:rFonts w:asciiTheme="majorHAnsi" w:hAnsiTheme="majorHAnsi"/>
                <w:webHidden/>
              </w:rPr>
            </w:r>
            <w:r w:rsidR="00687949" w:rsidRPr="00687949">
              <w:rPr>
                <w:rFonts w:asciiTheme="majorHAnsi" w:hAnsiTheme="majorHAnsi"/>
                <w:webHidden/>
              </w:rPr>
              <w:fldChar w:fldCharType="separate"/>
            </w:r>
            <w:r>
              <w:rPr>
                <w:rFonts w:asciiTheme="majorHAnsi" w:hAnsiTheme="majorHAnsi"/>
                <w:webHidden/>
              </w:rPr>
              <w:t>16</w:t>
            </w:r>
            <w:r w:rsidR="00687949" w:rsidRPr="00687949">
              <w:rPr>
                <w:rFonts w:asciiTheme="majorHAnsi" w:hAnsiTheme="majorHAnsi"/>
                <w:webHidden/>
              </w:rPr>
              <w:fldChar w:fldCharType="end"/>
            </w:r>
          </w:hyperlink>
        </w:p>
        <w:p w14:paraId="35456478" w14:textId="377C350B" w:rsidR="00687949" w:rsidRPr="00687949" w:rsidRDefault="001E704A">
          <w:pPr>
            <w:pStyle w:val="Sumrio2"/>
            <w:rPr>
              <w:rFonts w:asciiTheme="majorHAnsi" w:eastAsiaTheme="minorEastAsia" w:hAnsiTheme="majorHAnsi"/>
              <w:kern w:val="2"/>
              <w:lang w:eastAsia="pt-BR"/>
              <w14:ligatures w14:val="standardContextual"/>
            </w:rPr>
          </w:pPr>
          <w:hyperlink w:anchor="_Toc142556201" w:history="1">
            <w:r w:rsidR="00687949" w:rsidRPr="00687949">
              <w:rPr>
                <w:rStyle w:val="Hyperlink"/>
                <w:rFonts w:asciiTheme="majorHAnsi" w:hAnsiTheme="majorHAnsi"/>
              </w:rPr>
              <w:t>18.</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PARTICIPAÇÃO DE CONSÓRCIOS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_Toc142556201 \h </w:instrText>
            </w:r>
            <w:r w:rsidR="00687949" w:rsidRPr="00687949">
              <w:rPr>
                <w:rFonts w:asciiTheme="majorHAnsi" w:hAnsiTheme="majorHAnsi"/>
                <w:webHidden/>
              </w:rPr>
            </w:r>
            <w:r w:rsidR="00687949" w:rsidRPr="00687949">
              <w:rPr>
                <w:rFonts w:asciiTheme="majorHAnsi" w:hAnsiTheme="majorHAnsi"/>
                <w:webHidden/>
              </w:rPr>
              <w:fldChar w:fldCharType="separate"/>
            </w:r>
            <w:r>
              <w:rPr>
                <w:rFonts w:asciiTheme="majorHAnsi" w:hAnsiTheme="majorHAnsi"/>
                <w:webHidden/>
              </w:rPr>
              <w:t>16</w:t>
            </w:r>
            <w:r w:rsidR="00687949" w:rsidRPr="00687949">
              <w:rPr>
                <w:rFonts w:asciiTheme="majorHAnsi" w:hAnsiTheme="majorHAnsi"/>
                <w:webHidden/>
              </w:rPr>
              <w:fldChar w:fldCharType="end"/>
            </w:r>
          </w:hyperlink>
        </w:p>
        <w:p w14:paraId="422C179A" w14:textId="63119902" w:rsidR="00687949" w:rsidRPr="00687949" w:rsidRDefault="001E704A">
          <w:pPr>
            <w:pStyle w:val="Sumrio2"/>
            <w:rPr>
              <w:rFonts w:asciiTheme="majorHAnsi" w:eastAsiaTheme="minorEastAsia" w:hAnsiTheme="majorHAnsi"/>
              <w:kern w:val="2"/>
              <w:lang w:eastAsia="pt-BR"/>
              <w14:ligatures w14:val="standardContextual"/>
            </w:rPr>
          </w:pPr>
          <w:hyperlink w:anchor="_Toc142556202" w:history="1">
            <w:r w:rsidR="00687949" w:rsidRPr="00687949">
              <w:rPr>
                <w:rStyle w:val="Hyperlink"/>
                <w:rFonts w:asciiTheme="majorHAnsi" w:hAnsiTheme="majorHAnsi"/>
              </w:rPr>
              <w:t>19.</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PARTICIPAÇÃO DE COOPERATIVAS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_Toc142556202 \h </w:instrText>
            </w:r>
            <w:r w:rsidR="00687949" w:rsidRPr="00687949">
              <w:rPr>
                <w:rFonts w:asciiTheme="majorHAnsi" w:hAnsiTheme="majorHAnsi"/>
                <w:webHidden/>
              </w:rPr>
            </w:r>
            <w:r w:rsidR="00687949" w:rsidRPr="00687949">
              <w:rPr>
                <w:rFonts w:asciiTheme="majorHAnsi" w:hAnsiTheme="majorHAnsi"/>
                <w:webHidden/>
              </w:rPr>
              <w:fldChar w:fldCharType="separate"/>
            </w:r>
            <w:r>
              <w:rPr>
                <w:rFonts w:asciiTheme="majorHAnsi" w:hAnsiTheme="majorHAnsi"/>
                <w:webHidden/>
              </w:rPr>
              <w:t>17</w:t>
            </w:r>
            <w:r w:rsidR="00687949" w:rsidRPr="00687949">
              <w:rPr>
                <w:rFonts w:asciiTheme="majorHAnsi" w:hAnsiTheme="majorHAnsi"/>
                <w:webHidden/>
              </w:rPr>
              <w:fldChar w:fldCharType="end"/>
            </w:r>
          </w:hyperlink>
        </w:p>
        <w:p w14:paraId="309237C7" w14:textId="55A8DDEB" w:rsidR="00687949" w:rsidRPr="00687949" w:rsidRDefault="001E704A">
          <w:pPr>
            <w:pStyle w:val="Sumrio2"/>
            <w:rPr>
              <w:rFonts w:asciiTheme="majorHAnsi" w:eastAsiaTheme="minorEastAsia" w:hAnsiTheme="majorHAnsi"/>
              <w:kern w:val="2"/>
              <w:lang w:eastAsia="pt-BR"/>
              <w14:ligatures w14:val="standardContextual"/>
            </w:rPr>
          </w:pPr>
          <w:hyperlink w:anchor="_Toc142556203" w:history="1">
            <w:r w:rsidR="00687949" w:rsidRPr="00687949">
              <w:rPr>
                <w:rStyle w:val="Hyperlink"/>
                <w:rFonts w:asciiTheme="majorHAnsi" w:hAnsiTheme="majorHAnsi"/>
              </w:rPr>
              <w:t>20.</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GARANTIA DA EXECUÇÃO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_Toc142556203 \h </w:instrText>
            </w:r>
            <w:r w:rsidR="00687949" w:rsidRPr="00687949">
              <w:rPr>
                <w:rFonts w:asciiTheme="majorHAnsi" w:hAnsiTheme="majorHAnsi"/>
                <w:webHidden/>
              </w:rPr>
            </w:r>
            <w:r w:rsidR="00687949" w:rsidRPr="00687949">
              <w:rPr>
                <w:rFonts w:asciiTheme="majorHAnsi" w:hAnsiTheme="majorHAnsi"/>
                <w:webHidden/>
              </w:rPr>
              <w:fldChar w:fldCharType="separate"/>
            </w:r>
            <w:r>
              <w:rPr>
                <w:rFonts w:asciiTheme="majorHAnsi" w:hAnsiTheme="majorHAnsi"/>
                <w:webHidden/>
              </w:rPr>
              <w:t>17</w:t>
            </w:r>
            <w:r w:rsidR="00687949" w:rsidRPr="00687949">
              <w:rPr>
                <w:rFonts w:asciiTheme="majorHAnsi" w:hAnsiTheme="majorHAnsi"/>
                <w:webHidden/>
              </w:rPr>
              <w:fldChar w:fldCharType="end"/>
            </w:r>
          </w:hyperlink>
        </w:p>
        <w:p w14:paraId="7472960C" w14:textId="6D98FDBE" w:rsidR="00687949" w:rsidRPr="00687949" w:rsidRDefault="001E704A">
          <w:pPr>
            <w:pStyle w:val="Sumrio2"/>
            <w:rPr>
              <w:rFonts w:asciiTheme="majorHAnsi" w:eastAsiaTheme="minorEastAsia" w:hAnsiTheme="majorHAnsi"/>
              <w:kern w:val="2"/>
              <w:lang w:eastAsia="pt-BR"/>
              <w14:ligatures w14:val="standardContextual"/>
            </w:rPr>
          </w:pPr>
          <w:hyperlink w:anchor="_Toc142556204" w:history="1">
            <w:r w:rsidR="00687949" w:rsidRPr="00687949">
              <w:rPr>
                <w:rStyle w:val="Hyperlink"/>
                <w:rFonts w:asciiTheme="majorHAnsi" w:hAnsiTheme="majorHAnsi"/>
              </w:rPr>
              <w:t>21.</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DA SUSTENTABILIDADE</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_Toc142556204 \h </w:instrText>
            </w:r>
            <w:r w:rsidR="00687949" w:rsidRPr="00687949">
              <w:rPr>
                <w:rFonts w:asciiTheme="majorHAnsi" w:hAnsiTheme="majorHAnsi"/>
                <w:webHidden/>
              </w:rPr>
            </w:r>
            <w:r w:rsidR="00687949" w:rsidRPr="00687949">
              <w:rPr>
                <w:rFonts w:asciiTheme="majorHAnsi" w:hAnsiTheme="majorHAnsi"/>
                <w:webHidden/>
              </w:rPr>
              <w:fldChar w:fldCharType="separate"/>
            </w:r>
            <w:r>
              <w:rPr>
                <w:rFonts w:asciiTheme="majorHAnsi" w:hAnsiTheme="majorHAnsi"/>
                <w:webHidden/>
              </w:rPr>
              <w:t>17</w:t>
            </w:r>
            <w:r w:rsidR="00687949" w:rsidRPr="00687949">
              <w:rPr>
                <w:rFonts w:asciiTheme="majorHAnsi" w:hAnsiTheme="majorHAnsi"/>
                <w:webHidden/>
              </w:rPr>
              <w:fldChar w:fldCharType="end"/>
            </w:r>
          </w:hyperlink>
        </w:p>
        <w:p w14:paraId="6AF33282" w14:textId="642F3AF3" w:rsidR="00687949" w:rsidRPr="00687949" w:rsidRDefault="001E704A">
          <w:pPr>
            <w:pStyle w:val="Sumrio1"/>
            <w:rPr>
              <w:rFonts w:eastAsiaTheme="minorEastAsia"/>
              <w:b w:val="0"/>
              <w:bCs w:val="0"/>
              <w:kern w:val="2"/>
              <w:sz w:val="22"/>
              <w:szCs w:val="22"/>
              <w:lang w:eastAsia="pt-BR"/>
              <w14:ligatures w14:val="standardContextual"/>
            </w:rPr>
          </w:pPr>
          <w:hyperlink w:anchor="_Toc142556205" w:history="1">
            <w:r w:rsidR="00687949" w:rsidRPr="00687949">
              <w:rPr>
                <w:rStyle w:val="Hyperlink"/>
                <w:sz w:val="22"/>
                <w:szCs w:val="22"/>
              </w:rPr>
              <w:t>NOTAS EXPLICATIVAS</w:t>
            </w:r>
            <w:r w:rsidR="00687949" w:rsidRPr="00687949">
              <w:rPr>
                <w:webHidden/>
                <w:sz w:val="22"/>
                <w:szCs w:val="22"/>
              </w:rPr>
              <w:tab/>
            </w:r>
            <w:r w:rsidR="00687949" w:rsidRPr="00687949">
              <w:rPr>
                <w:webHidden/>
                <w:sz w:val="22"/>
                <w:szCs w:val="22"/>
              </w:rPr>
              <w:fldChar w:fldCharType="begin"/>
            </w:r>
            <w:r w:rsidR="00687949" w:rsidRPr="00687949">
              <w:rPr>
                <w:webHidden/>
                <w:sz w:val="22"/>
                <w:szCs w:val="22"/>
              </w:rPr>
              <w:instrText xml:space="preserve"> PAGEREF _Toc142556205 \h </w:instrText>
            </w:r>
            <w:r w:rsidR="00687949" w:rsidRPr="00687949">
              <w:rPr>
                <w:webHidden/>
                <w:sz w:val="22"/>
                <w:szCs w:val="22"/>
              </w:rPr>
            </w:r>
            <w:r w:rsidR="00687949" w:rsidRPr="00687949">
              <w:rPr>
                <w:webHidden/>
                <w:sz w:val="22"/>
                <w:szCs w:val="22"/>
              </w:rPr>
              <w:fldChar w:fldCharType="separate"/>
            </w:r>
            <w:r>
              <w:rPr>
                <w:webHidden/>
                <w:sz w:val="22"/>
                <w:szCs w:val="22"/>
              </w:rPr>
              <w:t>19</w:t>
            </w:r>
            <w:r w:rsidR="00687949" w:rsidRPr="00687949">
              <w:rPr>
                <w:webHidden/>
                <w:sz w:val="22"/>
                <w:szCs w:val="22"/>
              </w:rPr>
              <w:fldChar w:fldCharType="end"/>
            </w:r>
          </w:hyperlink>
        </w:p>
        <w:p w14:paraId="0EE591A7" w14:textId="1D36FD8F" w:rsidR="00687949" w:rsidRPr="00687949" w:rsidRDefault="001E704A">
          <w:pPr>
            <w:pStyle w:val="Sumrio2"/>
            <w:rPr>
              <w:rFonts w:asciiTheme="majorHAnsi" w:eastAsiaTheme="minorEastAsia" w:hAnsiTheme="majorHAnsi"/>
              <w:kern w:val="2"/>
              <w:lang w:eastAsia="pt-BR"/>
              <w14:ligatures w14:val="standardContextual"/>
            </w:rPr>
          </w:pPr>
          <w:hyperlink w:anchor="_Toc142556206" w:history="1">
            <w:r w:rsidR="00687949" w:rsidRPr="00687949">
              <w:rPr>
                <w:rStyle w:val="Hyperlink"/>
                <w:rFonts w:asciiTheme="majorHAnsi" w:hAnsiTheme="majorHAnsi"/>
              </w:rPr>
              <w:t>1.</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ENQUADRAMENTO DO OBJETO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_Toc142556206 \h </w:instrText>
            </w:r>
            <w:r w:rsidR="00687949" w:rsidRPr="00687949">
              <w:rPr>
                <w:rFonts w:asciiTheme="majorHAnsi" w:hAnsiTheme="majorHAnsi"/>
                <w:webHidden/>
              </w:rPr>
            </w:r>
            <w:r w:rsidR="00687949" w:rsidRPr="00687949">
              <w:rPr>
                <w:rFonts w:asciiTheme="majorHAnsi" w:hAnsiTheme="majorHAnsi"/>
                <w:webHidden/>
              </w:rPr>
              <w:fldChar w:fldCharType="separate"/>
            </w:r>
            <w:r>
              <w:rPr>
                <w:rFonts w:asciiTheme="majorHAnsi" w:hAnsiTheme="majorHAnsi"/>
                <w:webHidden/>
              </w:rPr>
              <w:t>19</w:t>
            </w:r>
            <w:r w:rsidR="00687949" w:rsidRPr="00687949">
              <w:rPr>
                <w:rFonts w:asciiTheme="majorHAnsi" w:hAnsiTheme="majorHAnsi"/>
                <w:webHidden/>
              </w:rPr>
              <w:fldChar w:fldCharType="end"/>
            </w:r>
          </w:hyperlink>
        </w:p>
        <w:p w14:paraId="181160DA" w14:textId="54F42E09" w:rsidR="00687949" w:rsidRPr="00687949" w:rsidRDefault="001E704A">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07" w:history="1">
            <w:r w:rsidR="00687949" w:rsidRPr="00687949">
              <w:rPr>
                <w:rStyle w:val="Hyperlink"/>
                <w:rFonts w:asciiTheme="majorHAnsi" w:hAnsiTheme="majorHAnsi" w:cstheme="majorHAnsi"/>
                <w:noProof/>
              </w:rPr>
              <w:t>1.1.</w:t>
            </w:r>
            <w:r w:rsidR="00687949" w:rsidRPr="00687949">
              <w:rPr>
                <w:rFonts w:asciiTheme="majorHAnsi" w:eastAsiaTheme="minorEastAsia" w:hAnsiTheme="majorHAnsi" w:cstheme="majorHAnsi"/>
                <w:noProof/>
                <w:kern w:val="2"/>
                <w:lang w:eastAsia="pt-BR"/>
                <w14:ligatures w14:val="standardContextual"/>
              </w:rPr>
              <w:tab/>
            </w:r>
            <w:r w:rsidR="00687949" w:rsidRPr="00687949">
              <w:rPr>
                <w:rStyle w:val="Hyperlink"/>
                <w:rFonts w:asciiTheme="majorHAnsi" w:hAnsiTheme="majorHAnsi" w:cstheme="majorHAnsi"/>
                <w:noProof/>
              </w:rPr>
              <w:t>Classificação como obra ou serviço de engenharia</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_Toc142556207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Pr>
                <w:rFonts w:asciiTheme="majorHAnsi" w:hAnsiTheme="majorHAnsi" w:cstheme="majorHAnsi"/>
                <w:noProof/>
                <w:webHidden/>
              </w:rPr>
              <w:t>19</w:t>
            </w:r>
            <w:r w:rsidR="00687949" w:rsidRPr="00687949">
              <w:rPr>
                <w:rFonts w:asciiTheme="majorHAnsi" w:hAnsiTheme="majorHAnsi" w:cstheme="majorHAnsi"/>
                <w:noProof/>
                <w:webHidden/>
              </w:rPr>
              <w:fldChar w:fldCharType="end"/>
            </w:r>
          </w:hyperlink>
        </w:p>
        <w:p w14:paraId="6DBD52F9" w14:textId="59F4C0C0" w:rsidR="00687949" w:rsidRPr="00687949" w:rsidRDefault="001E704A">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08" w:history="1">
            <w:r w:rsidR="00687949" w:rsidRPr="00687949">
              <w:rPr>
                <w:rStyle w:val="Hyperlink"/>
                <w:rFonts w:asciiTheme="majorHAnsi" w:hAnsiTheme="majorHAnsi" w:cstheme="majorHAnsi"/>
                <w:noProof/>
              </w:rPr>
              <w:t>1.2.</w:t>
            </w:r>
            <w:r w:rsidR="00687949" w:rsidRPr="00687949">
              <w:rPr>
                <w:rFonts w:asciiTheme="majorHAnsi" w:eastAsiaTheme="minorEastAsia" w:hAnsiTheme="majorHAnsi" w:cstheme="majorHAnsi"/>
                <w:noProof/>
                <w:kern w:val="2"/>
                <w:lang w:eastAsia="pt-BR"/>
                <w14:ligatures w14:val="standardContextual"/>
              </w:rPr>
              <w:tab/>
            </w:r>
            <w:r w:rsidR="00687949" w:rsidRPr="00687949">
              <w:rPr>
                <w:rStyle w:val="Hyperlink"/>
                <w:rFonts w:asciiTheme="majorHAnsi" w:hAnsiTheme="majorHAnsi" w:cstheme="majorHAnsi"/>
                <w:noProof/>
              </w:rPr>
              <w:t>Classificação como serviço comum ou especial</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_Toc142556208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Pr>
                <w:rFonts w:asciiTheme="majorHAnsi" w:hAnsiTheme="majorHAnsi" w:cstheme="majorHAnsi"/>
                <w:noProof/>
                <w:webHidden/>
              </w:rPr>
              <w:t>20</w:t>
            </w:r>
            <w:r w:rsidR="00687949" w:rsidRPr="00687949">
              <w:rPr>
                <w:rFonts w:asciiTheme="majorHAnsi" w:hAnsiTheme="majorHAnsi" w:cstheme="majorHAnsi"/>
                <w:noProof/>
                <w:webHidden/>
              </w:rPr>
              <w:fldChar w:fldCharType="end"/>
            </w:r>
          </w:hyperlink>
        </w:p>
        <w:p w14:paraId="13251B1D" w14:textId="3DBAC801" w:rsidR="00687949" w:rsidRPr="00687949" w:rsidRDefault="001E704A">
          <w:pPr>
            <w:pStyle w:val="Sumrio2"/>
            <w:rPr>
              <w:rFonts w:asciiTheme="majorHAnsi" w:eastAsiaTheme="minorEastAsia" w:hAnsiTheme="majorHAnsi"/>
              <w:kern w:val="2"/>
              <w:lang w:eastAsia="pt-BR"/>
              <w14:ligatures w14:val="standardContextual"/>
            </w:rPr>
          </w:pPr>
          <w:hyperlink w:anchor="_Toc142556209" w:history="1">
            <w:r w:rsidR="00687949" w:rsidRPr="00687949">
              <w:rPr>
                <w:rStyle w:val="Hyperlink"/>
                <w:rFonts w:asciiTheme="majorHAnsi" w:hAnsiTheme="majorHAnsi"/>
              </w:rPr>
              <w:t>2.</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REGIMES DE EXECUÇÃO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_Toc142556209 \h </w:instrText>
            </w:r>
            <w:r w:rsidR="00687949" w:rsidRPr="00687949">
              <w:rPr>
                <w:rFonts w:asciiTheme="majorHAnsi" w:hAnsiTheme="majorHAnsi"/>
                <w:webHidden/>
              </w:rPr>
            </w:r>
            <w:r w:rsidR="00687949" w:rsidRPr="00687949">
              <w:rPr>
                <w:rFonts w:asciiTheme="majorHAnsi" w:hAnsiTheme="majorHAnsi"/>
                <w:webHidden/>
              </w:rPr>
              <w:fldChar w:fldCharType="separate"/>
            </w:r>
            <w:r>
              <w:rPr>
                <w:rFonts w:asciiTheme="majorHAnsi" w:hAnsiTheme="majorHAnsi"/>
                <w:webHidden/>
              </w:rPr>
              <w:t>21</w:t>
            </w:r>
            <w:r w:rsidR="00687949" w:rsidRPr="00687949">
              <w:rPr>
                <w:rFonts w:asciiTheme="majorHAnsi" w:hAnsiTheme="majorHAnsi"/>
                <w:webHidden/>
              </w:rPr>
              <w:fldChar w:fldCharType="end"/>
            </w:r>
          </w:hyperlink>
        </w:p>
        <w:p w14:paraId="118DD65E" w14:textId="731F58EC" w:rsidR="00687949" w:rsidRPr="00687949" w:rsidRDefault="001E704A">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10" w:history="1">
            <w:r w:rsidR="00687949" w:rsidRPr="00687949">
              <w:rPr>
                <w:rStyle w:val="Hyperlink"/>
                <w:rFonts w:asciiTheme="majorHAnsi" w:hAnsiTheme="majorHAnsi" w:cstheme="majorHAnsi"/>
                <w:noProof/>
              </w:rPr>
              <w:t>2.1.</w:t>
            </w:r>
            <w:r w:rsidR="00687949" w:rsidRPr="00687949">
              <w:rPr>
                <w:rFonts w:asciiTheme="majorHAnsi" w:eastAsiaTheme="minorEastAsia" w:hAnsiTheme="majorHAnsi" w:cstheme="majorHAnsi"/>
                <w:noProof/>
                <w:kern w:val="2"/>
                <w:lang w:eastAsia="pt-BR"/>
                <w14:ligatures w14:val="standardContextual"/>
              </w:rPr>
              <w:tab/>
            </w:r>
            <w:r w:rsidR="00687949" w:rsidRPr="00687949">
              <w:rPr>
                <w:rStyle w:val="Hyperlink"/>
                <w:rFonts w:asciiTheme="majorHAnsi" w:hAnsiTheme="majorHAnsi" w:cstheme="majorHAnsi"/>
                <w:noProof/>
              </w:rPr>
              <w:t>Empreitada por Preço Unitário</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_Toc142556210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Pr>
                <w:rFonts w:asciiTheme="majorHAnsi" w:hAnsiTheme="majorHAnsi" w:cstheme="majorHAnsi"/>
                <w:noProof/>
                <w:webHidden/>
              </w:rPr>
              <w:t>21</w:t>
            </w:r>
            <w:r w:rsidR="00687949" w:rsidRPr="00687949">
              <w:rPr>
                <w:rFonts w:asciiTheme="majorHAnsi" w:hAnsiTheme="majorHAnsi" w:cstheme="majorHAnsi"/>
                <w:noProof/>
                <w:webHidden/>
              </w:rPr>
              <w:fldChar w:fldCharType="end"/>
            </w:r>
          </w:hyperlink>
        </w:p>
        <w:p w14:paraId="09659BC9" w14:textId="553C56F0" w:rsidR="00687949" w:rsidRPr="00687949" w:rsidRDefault="001E704A">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11" w:history="1">
            <w:r w:rsidR="00687949" w:rsidRPr="00687949">
              <w:rPr>
                <w:rStyle w:val="Hyperlink"/>
                <w:rFonts w:asciiTheme="majorHAnsi" w:hAnsiTheme="majorHAnsi" w:cstheme="majorHAnsi"/>
                <w:noProof/>
              </w:rPr>
              <w:t>2.2.</w:t>
            </w:r>
            <w:r w:rsidR="00687949" w:rsidRPr="00687949">
              <w:rPr>
                <w:rFonts w:asciiTheme="majorHAnsi" w:eastAsiaTheme="minorEastAsia" w:hAnsiTheme="majorHAnsi" w:cstheme="majorHAnsi"/>
                <w:noProof/>
                <w:kern w:val="2"/>
                <w:lang w:eastAsia="pt-BR"/>
                <w14:ligatures w14:val="standardContextual"/>
              </w:rPr>
              <w:tab/>
            </w:r>
            <w:r w:rsidR="00687949" w:rsidRPr="00687949">
              <w:rPr>
                <w:rStyle w:val="Hyperlink"/>
                <w:rFonts w:asciiTheme="majorHAnsi" w:hAnsiTheme="majorHAnsi" w:cstheme="majorHAnsi"/>
                <w:noProof/>
              </w:rPr>
              <w:t>Empreitada por Preço Global</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_Toc142556211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Pr>
                <w:rFonts w:asciiTheme="majorHAnsi" w:hAnsiTheme="majorHAnsi" w:cstheme="majorHAnsi"/>
                <w:noProof/>
                <w:webHidden/>
              </w:rPr>
              <w:t>22</w:t>
            </w:r>
            <w:r w:rsidR="00687949" w:rsidRPr="00687949">
              <w:rPr>
                <w:rFonts w:asciiTheme="majorHAnsi" w:hAnsiTheme="majorHAnsi" w:cstheme="majorHAnsi"/>
                <w:noProof/>
                <w:webHidden/>
              </w:rPr>
              <w:fldChar w:fldCharType="end"/>
            </w:r>
          </w:hyperlink>
        </w:p>
        <w:p w14:paraId="1A161403" w14:textId="5FDACC9D" w:rsidR="00687949" w:rsidRPr="00687949" w:rsidRDefault="001E704A">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12" w:history="1">
            <w:r w:rsidR="00687949" w:rsidRPr="00687949">
              <w:rPr>
                <w:rStyle w:val="Hyperlink"/>
                <w:rFonts w:asciiTheme="majorHAnsi" w:hAnsiTheme="majorHAnsi" w:cstheme="majorHAnsi"/>
                <w:noProof/>
              </w:rPr>
              <w:t>2.3.</w:t>
            </w:r>
            <w:r w:rsidR="00687949" w:rsidRPr="00687949">
              <w:rPr>
                <w:rFonts w:asciiTheme="majorHAnsi" w:eastAsiaTheme="minorEastAsia" w:hAnsiTheme="majorHAnsi" w:cstheme="majorHAnsi"/>
                <w:noProof/>
                <w:kern w:val="2"/>
                <w:lang w:eastAsia="pt-BR"/>
                <w14:ligatures w14:val="standardContextual"/>
              </w:rPr>
              <w:tab/>
            </w:r>
            <w:r w:rsidR="00687949" w:rsidRPr="00687949">
              <w:rPr>
                <w:rStyle w:val="Hyperlink"/>
                <w:rFonts w:asciiTheme="majorHAnsi" w:hAnsiTheme="majorHAnsi" w:cstheme="majorHAnsi"/>
                <w:noProof/>
              </w:rPr>
              <w:t>Empreitada Integral</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_Toc142556212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Pr>
                <w:rFonts w:asciiTheme="majorHAnsi" w:hAnsiTheme="majorHAnsi" w:cstheme="majorHAnsi"/>
                <w:noProof/>
                <w:webHidden/>
              </w:rPr>
              <w:t>22</w:t>
            </w:r>
            <w:r w:rsidR="00687949" w:rsidRPr="00687949">
              <w:rPr>
                <w:rFonts w:asciiTheme="majorHAnsi" w:hAnsiTheme="majorHAnsi" w:cstheme="majorHAnsi"/>
                <w:noProof/>
                <w:webHidden/>
              </w:rPr>
              <w:fldChar w:fldCharType="end"/>
            </w:r>
          </w:hyperlink>
        </w:p>
        <w:p w14:paraId="5C0A6E16" w14:textId="606CA81E" w:rsidR="00687949" w:rsidRPr="00687949" w:rsidRDefault="001E704A">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13" w:history="1">
            <w:r w:rsidR="00687949" w:rsidRPr="00687949">
              <w:rPr>
                <w:rStyle w:val="Hyperlink"/>
                <w:rFonts w:asciiTheme="majorHAnsi" w:hAnsiTheme="majorHAnsi" w:cstheme="majorHAnsi"/>
                <w:noProof/>
              </w:rPr>
              <w:t>2.4.</w:t>
            </w:r>
            <w:r w:rsidR="00687949" w:rsidRPr="00687949">
              <w:rPr>
                <w:rFonts w:asciiTheme="majorHAnsi" w:eastAsiaTheme="minorEastAsia" w:hAnsiTheme="majorHAnsi" w:cstheme="majorHAnsi"/>
                <w:noProof/>
                <w:kern w:val="2"/>
                <w:lang w:eastAsia="pt-BR"/>
                <w14:ligatures w14:val="standardContextual"/>
              </w:rPr>
              <w:tab/>
            </w:r>
            <w:r w:rsidR="00687949" w:rsidRPr="00687949">
              <w:rPr>
                <w:rStyle w:val="Hyperlink"/>
                <w:rFonts w:asciiTheme="majorHAnsi" w:hAnsiTheme="majorHAnsi" w:cstheme="majorHAnsi"/>
                <w:noProof/>
              </w:rPr>
              <w:t>Contratação Por Tarefa</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_Toc142556213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Pr>
                <w:rFonts w:asciiTheme="majorHAnsi" w:hAnsiTheme="majorHAnsi" w:cstheme="majorHAnsi"/>
                <w:noProof/>
                <w:webHidden/>
              </w:rPr>
              <w:t>23</w:t>
            </w:r>
            <w:r w:rsidR="00687949" w:rsidRPr="00687949">
              <w:rPr>
                <w:rFonts w:asciiTheme="majorHAnsi" w:hAnsiTheme="majorHAnsi" w:cstheme="majorHAnsi"/>
                <w:noProof/>
                <w:webHidden/>
              </w:rPr>
              <w:fldChar w:fldCharType="end"/>
            </w:r>
          </w:hyperlink>
        </w:p>
        <w:p w14:paraId="172E2846" w14:textId="4CA0F902" w:rsidR="00687949" w:rsidRPr="00687949" w:rsidRDefault="001E704A">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14" w:history="1">
            <w:r w:rsidR="00687949" w:rsidRPr="00687949">
              <w:rPr>
                <w:rStyle w:val="Hyperlink"/>
                <w:rFonts w:asciiTheme="majorHAnsi" w:hAnsiTheme="majorHAnsi" w:cstheme="majorHAnsi"/>
                <w:noProof/>
              </w:rPr>
              <w:t>2.5.</w:t>
            </w:r>
            <w:r w:rsidR="00687949" w:rsidRPr="00687949">
              <w:rPr>
                <w:rFonts w:asciiTheme="majorHAnsi" w:eastAsiaTheme="minorEastAsia" w:hAnsiTheme="majorHAnsi" w:cstheme="majorHAnsi"/>
                <w:noProof/>
                <w:kern w:val="2"/>
                <w:lang w:eastAsia="pt-BR"/>
                <w14:ligatures w14:val="standardContextual"/>
              </w:rPr>
              <w:tab/>
            </w:r>
            <w:r w:rsidR="00687949" w:rsidRPr="00687949">
              <w:rPr>
                <w:rStyle w:val="Hyperlink"/>
                <w:rFonts w:asciiTheme="majorHAnsi" w:hAnsiTheme="majorHAnsi" w:cstheme="majorHAnsi"/>
                <w:noProof/>
              </w:rPr>
              <w:t>Contratação Integrada</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_Toc142556214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Pr>
                <w:rFonts w:asciiTheme="majorHAnsi" w:hAnsiTheme="majorHAnsi" w:cstheme="majorHAnsi"/>
                <w:noProof/>
                <w:webHidden/>
              </w:rPr>
              <w:t>24</w:t>
            </w:r>
            <w:r w:rsidR="00687949" w:rsidRPr="00687949">
              <w:rPr>
                <w:rFonts w:asciiTheme="majorHAnsi" w:hAnsiTheme="majorHAnsi" w:cstheme="majorHAnsi"/>
                <w:noProof/>
                <w:webHidden/>
              </w:rPr>
              <w:fldChar w:fldCharType="end"/>
            </w:r>
          </w:hyperlink>
        </w:p>
        <w:p w14:paraId="60CBB695" w14:textId="2BC8BB38" w:rsidR="00687949" w:rsidRPr="00687949" w:rsidRDefault="001E704A">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15" w:history="1">
            <w:r w:rsidR="00687949" w:rsidRPr="00687949">
              <w:rPr>
                <w:rStyle w:val="Hyperlink"/>
                <w:rFonts w:asciiTheme="majorHAnsi" w:hAnsiTheme="majorHAnsi" w:cstheme="majorHAnsi"/>
                <w:noProof/>
              </w:rPr>
              <w:t>2.6.</w:t>
            </w:r>
            <w:r w:rsidR="00687949" w:rsidRPr="00687949">
              <w:rPr>
                <w:rFonts w:asciiTheme="majorHAnsi" w:eastAsiaTheme="minorEastAsia" w:hAnsiTheme="majorHAnsi" w:cstheme="majorHAnsi"/>
                <w:noProof/>
                <w:kern w:val="2"/>
                <w:lang w:eastAsia="pt-BR"/>
                <w14:ligatures w14:val="standardContextual"/>
              </w:rPr>
              <w:tab/>
            </w:r>
            <w:r w:rsidR="00687949" w:rsidRPr="00687949">
              <w:rPr>
                <w:rStyle w:val="Hyperlink"/>
                <w:rFonts w:asciiTheme="majorHAnsi" w:hAnsiTheme="majorHAnsi" w:cstheme="majorHAnsi"/>
                <w:noProof/>
              </w:rPr>
              <w:t>Contratação Semi-Integrada</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_Toc142556215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Pr>
                <w:rFonts w:asciiTheme="majorHAnsi" w:hAnsiTheme="majorHAnsi" w:cstheme="majorHAnsi"/>
                <w:noProof/>
                <w:webHidden/>
              </w:rPr>
              <w:t>25</w:t>
            </w:r>
            <w:r w:rsidR="00687949" w:rsidRPr="00687949">
              <w:rPr>
                <w:rFonts w:asciiTheme="majorHAnsi" w:hAnsiTheme="majorHAnsi" w:cstheme="majorHAnsi"/>
                <w:noProof/>
                <w:webHidden/>
              </w:rPr>
              <w:fldChar w:fldCharType="end"/>
            </w:r>
          </w:hyperlink>
        </w:p>
        <w:p w14:paraId="022851F7" w14:textId="2FF9DDA3" w:rsidR="00687949" w:rsidRPr="00687949" w:rsidRDefault="001E704A">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16" w:history="1">
            <w:r w:rsidR="00687949" w:rsidRPr="00687949">
              <w:rPr>
                <w:rStyle w:val="Hyperlink"/>
                <w:rFonts w:asciiTheme="majorHAnsi" w:hAnsiTheme="majorHAnsi" w:cstheme="majorHAnsi"/>
                <w:noProof/>
              </w:rPr>
              <w:t>2.7.</w:t>
            </w:r>
            <w:r w:rsidR="00687949" w:rsidRPr="00687949">
              <w:rPr>
                <w:rFonts w:asciiTheme="majorHAnsi" w:eastAsiaTheme="minorEastAsia" w:hAnsiTheme="majorHAnsi" w:cstheme="majorHAnsi"/>
                <w:noProof/>
                <w:kern w:val="2"/>
                <w:lang w:eastAsia="pt-BR"/>
                <w14:ligatures w14:val="standardContextual"/>
              </w:rPr>
              <w:tab/>
            </w:r>
            <w:r w:rsidR="00687949" w:rsidRPr="00687949">
              <w:rPr>
                <w:rStyle w:val="Hyperlink"/>
                <w:rFonts w:asciiTheme="majorHAnsi" w:hAnsiTheme="majorHAnsi" w:cstheme="majorHAnsi"/>
                <w:noProof/>
              </w:rPr>
              <w:t>Fornecimento e prestação de serviço associado</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_Toc142556216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Pr>
                <w:rFonts w:asciiTheme="majorHAnsi" w:hAnsiTheme="majorHAnsi" w:cstheme="majorHAnsi"/>
                <w:noProof/>
                <w:webHidden/>
              </w:rPr>
              <w:t>25</w:t>
            </w:r>
            <w:r w:rsidR="00687949" w:rsidRPr="00687949">
              <w:rPr>
                <w:rFonts w:asciiTheme="majorHAnsi" w:hAnsiTheme="majorHAnsi" w:cstheme="majorHAnsi"/>
                <w:noProof/>
                <w:webHidden/>
              </w:rPr>
              <w:fldChar w:fldCharType="end"/>
            </w:r>
          </w:hyperlink>
        </w:p>
        <w:p w14:paraId="5FDD306B" w14:textId="03D7B927" w:rsidR="00687949" w:rsidRPr="00687949" w:rsidRDefault="001E704A">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17" w:history="1">
            <w:r w:rsidR="00687949" w:rsidRPr="00687949">
              <w:rPr>
                <w:rStyle w:val="Hyperlink"/>
                <w:rFonts w:asciiTheme="majorHAnsi" w:hAnsiTheme="majorHAnsi" w:cstheme="majorHAnsi"/>
                <w:noProof/>
              </w:rPr>
              <w:t>2.8.</w:t>
            </w:r>
            <w:r w:rsidR="00687949" w:rsidRPr="00687949">
              <w:rPr>
                <w:rFonts w:asciiTheme="majorHAnsi" w:eastAsiaTheme="minorEastAsia" w:hAnsiTheme="majorHAnsi" w:cstheme="majorHAnsi"/>
                <w:noProof/>
                <w:kern w:val="2"/>
                <w:lang w:eastAsia="pt-BR"/>
                <w14:ligatures w14:val="standardContextual"/>
              </w:rPr>
              <w:tab/>
            </w:r>
            <w:r w:rsidR="00687949" w:rsidRPr="00687949">
              <w:rPr>
                <w:rStyle w:val="Hyperlink"/>
                <w:rFonts w:asciiTheme="majorHAnsi" w:hAnsiTheme="majorHAnsi" w:cstheme="majorHAnsi"/>
                <w:noProof/>
              </w:rPr>
              <w:t>Subestimativas e superestimativas técnicas relevantes</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_Toc142556217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Pr>
                <w:rFonts w:asciiTheme="majorHAnsi" w:hAnsiTheme="majorHAnsi" w:cstheme="majorHAnsi"/>
                <w:noProof/>
                <w:webHidden/>
              </w:rPr>
              <w:t>26</w:t>
            </w:r>
            <w:r w:rsidR="00687949" w:rsidRPr="00687949">
              <w:rPr>
                <w:rFonts w:asciiTheme="majorHAnsi" w:hAnsiTheme="majorHAnsi" w:cstheme="majorHAnsi"/>
                <w:noProof/>
                <w:webHidden/>
              </w:rPr>
              <w:fldChar w:fldCharType="end"/>
            </w:r>
          </w:hyperlink>
        </w:p>
        <w:p w14:paraId="439761D9" w14:textId="01CF5C3A" w:rsidR="00687949" w:rsidRPr="00687949" w:rsidRDefault="001E704A">
          <w:pPr>
            <w:pStyle w:val="Sumrio2"/>
            <w:rPr>
              <w:rFonts w:asciiTheme="majorHAnsi" w:eastAsiaTheme="minorEastAsia" w:hAnsiTheme="majorHAnsi"/>
              <w:kern w:val="2"/>
              <w:lang w:eastAsia="pt-BR"/>
              <w14:ligatures w14:val="standardContextual"/>
            </w:rPr>
          </w:pPr>
          <w:hyperlink w:anchor="_Toc142556218" w:history="1">
            <w:r w:rsidR="00687949" w:rsidRPr="00687949">
              <w:rPr>
                <w:rStyle w:val="Hyperlink"/>
                <w:rFonts w:asciiTheme="majorHAnsi" w:hAnsiTheme="majorHAnsi"/>
              </w:rPr>
              <w:t>3.</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ELABORAÇÃO DE PROJETO / DOCUMENTOS TÉCNICOS POR PROFISSIONAL HABILITADO E COMPROVAÇÃO DE RESPONSABILIDADE TÉCNICA.</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_Toc142556218 \h </w:instrText>
            </w:r>
            <w:r w:rsidR="00687949" w:rsidRPr="00687949">
              <w:rPr>
                <w:rFonts w:asciiTheme="majorHAnsi" w:hAnsiTheme="majorHAnsi"/>
                <w:webHidden/>
              </w:rPr>
            </w:r>
            <w:r w:rsidR="00687949" w:rsidRPr="00687949">
              <w:rPr>
                <w:rFonts w:asciiTheme="majorHAnsi" w:hAnsiTheme="majorHAnsi"/>
                <w:webHidden/>
              </w:rPr>
              <w:fldChar w:fldCharType="separate"/>
            </w:r>
            <w:r>
              <w:rPr>
                <w:rFonts w:asciiTheme="majorHAnsi" w:hAnsiTheme="majorHAnsi"/>
                <w:webHidden/>
              </w:rPr>
              <w:t>29</w:t>
            </w:r>
            <w:r w:rsidR="00687949" w:rsidRPr="00687949">
              <w:rPr>
                <w:rFonts w:asciiTheme="majorHAnsi" w:hAnsiTheme="majorHAnsi"/>
                <w:webHidden/>
              </w:rPr>
              <w:fldChar w:fldCharType="end"/>
            </w:r>
          </w:hyperlink>
        </w:p>
        <w:p w14:paraId="21919EAC" w14:textId="46A82EF4" w:rsidR="00687949" w:rsidRPr="00687949" w:rsidRDefault="001E704A">
          <w:pPr>
            <w:pStyle w:val="Sumrio2"/>
            <w:rPr>
              <w:rFonts w:asciiTheme="majorHAnsi" w:eastAsiaTheme="minorEastAsia" w:hAnsiTheme="majorHAnsi"/>
              <w:kern w:val="2"/>
              <w:lang w:eastAsia="pt-BR"/>
              <w14:ligatures w14:val="standardContextual"/>
            </w:rPr>
          </w:pPr>
          <w:hyperlink w:anchor="_Toc142556219" w:history="1">
            <w:r w:rsidR="00687949" w:rsidRPr="00687949">
              <w:rPr>
                <w:rStyle w:val="Hyperlink"/>
                <w:rFonts w:asciiTheme="majorHAnsi" w:hAnsiTheme="majorHAnsi"/>
              </w:rPr>
              <w:t>4.</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DEFINIÇÃO DOS CUSTOS UNITÁRIOS DE REFERÊNCIA</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_Toc142556219 \h </w:instrText>
            </w:r>
            <w:r w:rsidR="00687949" w:rsidRPr="00687949">
              <w:rPr>
                <w:rFonts w:asciiTheme="majorHAnsi" w:hAnsiTheme="majorHAnsi"/>
                <w:webHidden/>
              </w:rPr>
            </w:r>
            <w:r w:rsidR="00687949" w:rsidRPr="00687949">
              <w:rPr>
                <w:rFonts w:asciiTheme="majorHAnsi" w:hAnsiTheme="majorHAnsi"/>
                <w:webHidden/>
              </w:rPr>
              <w:fldChar w:fldCharType="separate"/>
            </w:r>
            <w:r>
              <w:rPr>
                <w:rFonts w:asciiTheme="majorHAnsi" w:hAnsiTheme="majorHAnsi"/>
                <w:webHidden/>
              </w:rPr>
              <w:t>30</w:t>
            </w:r>
            <w:r w:rsidR="00687949" w:rsidRPr="00687949">
              <w:rPr>
                <w:rFonts w:asciiTheme="majorHAnsi" w:hAnsiTheme="majorHAnsi"/>
                <w:webHidden/>
              </w:rPr>
              <w:fldChar w:fldCharType="end"/>
            </w:r>
          </w:hyperlink>
        </w:p>
        <w:p w14:paraId="6A80E1FB" w14:textId="4996AFE9" w:rsidR="00687949" w:rsidRPr="00687949" w:rsidRDefault="001E704A">
          <w:pPr>
            <w:pStyle w:val="Sumrio2"/>
            <w:rPr>
              <w:rFonts w:asciiTheme="majorHAnsi" w:eastAsiaTheme="minorEastAsia" w:hAnsiTheme="majorHAnsi"/>
              <w:kern w:val="2"/>
              <w:lang w:eastAsia="pt-BR"/>
              <w14:ligatures w14:val="standardContextual"/>
            </w:rPr>
          </w:pPr>
          <w:hyperlink w:anchor="_Toc142556220" w:history="1">
            <w:r w:rsidR="00687949" w:rsidRPr="00687949">
              <w:rPr>
                <w:rStyle w:val="Hyperlink"/>
                <w:rFonts w:asciiTheme="majorHAnsi" w:hAnsiTheme="majorHAnsi"/>
              </w:rPr>
              <w:t>5.</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ORÇAMENTO DETALHADO EM PLANILHA DE CUSTOS UNITÁRIOS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_Toc142556220 \h </w:instrText>
            </w:r>
            <w:r w:rsidR="00687949" w:rsidRPr="00687949">
              <w:rPr>
                <w:rFonts w:asciiTheme="majorHAnsi" w:hAnsiTheme="majorHAnsi"/>
                <w:webHidden/>
              </w:rPr>
            </w:r>
            <w:r w:rsidR="00687949" w:rsidRPr="00687949">
              <w:rPr>
                <w:rFonts w:asciiTheme="majorHAnsi" w:hAnsiTheme="majorHAnsi"/>
                <w:webHidden/>
              </w:rPr>
              <w:fldChar w:fldCharType="separate"/>
            </w:r>
            <w:r>
              <w:rPr>
                <w:rFonts w:asciiTheme="majorHAnsi" w:hAnsiTheme="majorHAnsi"/>
                <w:webHidden/>
              </w:rPr>
              <w:t>31</w:t>
            </w:r>
            <w:r w:rsidR="00687949" w:rsidRPr="00687949">
              <w:rPr>
                <w:rFonts w:asciiTheme="majorHAnsi" w:hAnsiTheme="majorHAnsi"/>
                <w:webHidden/>
              </w:rPr>
              <w:fldChar w:fldCharType="end"/>
            </w:r>
          </w:hyperlink>
        </w:p>
        <w:p w14:paraId="6D6A4E8B" w14:textId="29DA844F" w:rsidR="00687949" w:rsidRPr="00687949" w:rsidRDefault="001E704A">
          <w:pPr>
            <w:pStyle w:val="Sumrio2"/>
            <w:rPr>
              <w:rFonts w:asciiTheme="majorHAnsi" w:eastAsiaTheme="minorEastAsia" w:hAnsiTheme="majorHAnsi"/>
              <w:kern w:val="2"/>
              <w:lang w:eastAsia="pt-BR"/>
              <w14:ligatures w14:val="standardContextual"/>
            </w:rPr>
          </w:pPr>
          <w:hyperlink w:anchor="_Toc142556221" w:history="1">
            <w:r w:rsidR="00687949" w:rsidRPr="00687949">
              <w:rPr>
                <w:rStyle w:val="Hyperlink"/>
                <w:rFonts w:asciiTheme="majorHAnsi" w:hAnsiTheme="majorHAnsi"/>
              </w:rPr>
              <w:t>6.</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ELABORAÇÃO DAS COMPOSIÇÕES DE CUSTOS UNITÁRIOS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_Toc142556221 \h </w:instrText>
            </w:r>
            <w:r w:rsidR="00687949" w:rsidRPr="00687949">
              <w:rPr>
                <w:rFonts w:asciiTheme="majorHAnsi" w:hAnsiTheme="majorHAnsi"/>
                <w:webHidden/>
              </w:rPr>
            </w:r>
            <w:r w:rsidR="00687949" w:rsidRPr="00687949">
              <w:rPr>
                <w:rFonts w:asciiTheme="majorHAnsi" w:hAnsiTheme="majorHAnsi"/>
                <w:webHidden/>
              </w:rPr>
              <w:fldChar w:fldCharType="separate"/>
            </w:r>
            <w:r>
              <w:rPr>
                <w:rFonts w:asciiTheme="majorHAnsi" w:hAnsiTheme="majorHAnsi"/>
                <w:webHidden/>
              </w:rPr>
              <w:t>32</w:t>
            </w:r>
            <w:r w:rsidR="00687949" w:rsidRPr="00687949">
              <w:rPr>
                <w:rFonts w:asciiTheme="majorHAnsi" w:hAnsiTheme="majorHAnsi"/>
                <w:webHidden/>
              </w:rPr>
              <w:fldChar w:fldCharType="end"/>
            </w:r>
          </w:hyperlink>
        </w:p>
        <w:p w14:paraId="22542E13" w14:textId="44488CF7" w:rsidR="00687949" w:rsidRPr="00687949" w:rsidRDefault="001E704A">
          <w:pPr>
            <w:pStyle w:val="Sumrio2"/>
            <w:rPr>
              <w:rFonts w:asciiTheme="majorHAnsi" w:eastAsiaTheme="minorEastAsia" w:hAnsiTheme="majorHAnsi"/>
              <w:kern w:val="2"/>
              <w:lang w:eastAsia="pt-BR"/>
              <w14:ligatures w14:val="standardContextual"/>
            </w:rPr>
          </w:pPr>
          <w:hyperlink w:anchor="_Toc142556222" w:history="1">
            <w:r w:rsidR="00687949" w:rsidRPr="00687949">
              <w:rPr>
                <w:rStyle w:val="Hyperlink"/>
                <w:rFonts w:asciiTheme="majorHAnsi" w:hAnsiTheme="majorHAnsi"/>
              </w:rPr>
              <w:t>7.</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CUSTOS DIRETOS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_Toc142556222 \h </w:instrText>
            </w:r>
            <w:r w:rsidR="00687949" w:rsidRPr="00687949">
              <w:rPr>
                <w:rFonts w:asciiTheme="majorHAnsi" w:hAnsiTheme="majorHAnsi"/>
                <w:webHidden/>
              </w:rPr>
            </w:r>
            <w:r w:rsidR="00687949" w:rsidRPr="00687949">
              <w:rPr>
                <w:rFonts w:asciiTheme="majorHAnsi" w:hAnsiTheme="majorHAnsi"/>
                <w:webHidden/>
              </w:rPr>
              <w:fldChar w:fldCharType="separate"/>
            </w:r>
            <w:r>
              <w:rPr>
                <w:rFonts w:asciiTheme="majorHAnsi" w:hAnsiTheme="majorHAnsi"/>
                <w:webHidden/>
              </w:rPr>
              <w:t>33</w:t>
            </w:r>
            <w:r w:rsidR="00687949" w:rsidRPr="00687949">
              <w:rPr>
                <w:rFonts w:asciiTheme="majorHAnsi" w:hAnsiTheme="majorHAnsi"/>
                <w:webHidden/>
              </w:rPr>
              <w:fldChar w:fldCharType="end"/>
            </w:r>
          </w:hyperlink>
        </w:p>
        <w:p w14:paraId="127840E2" w14:textId="0611C8AD" w:rsidR="00687949" w:rsidRPr="00687949" w:rsidRDefault="001E704A">
          <w:pPr>
            <w:pStyle w:val="Sumrio2"/>
            <w:rPr>
              <w:rFonts w:asciiTheme="majorHAnsi" w:eastAsiaTheme="minorEastAsia" w:hAnsiTheme="majorHAnsi"/>
              <w:kern w:val="2"/>
              <w:lang w:eastAsia="pt-BR"/>
              <w14:ligatures w14:val="standardContextual"/>
            </w:rPr>
          </w:pPr>
          <w:hyperlink w:anchor="_Toc142556223" w:history="1">
            <w:r w:rsidR="00687949" w:rsidRPr="00687949">
              <w:rPr>
                <w:rStyle w:val="Hyperlink"/>
                <w:rFonts w:asciiTheme="majorHAnsi" w:hAnsiTheme="majorHAnsi"/>
              </w:rPr>
              <w:t>8.</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ELABORAÇÃO DAS CURVAS ABC DOS SERVIÇOS E INSUMOS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_Toc142556223 \h </w:instrText>
            </w:r>
            <w:r w:rsidR="00687949" w:rsidRPr="00687949">
              <w:rPr>
                <w:rFonts w:asciiTheme="majorHAnsi" w:hAnsiTheme="majorHAnsi"/>
                <w:webHidden/>
              </w:rPr>
            </w:r>
            <w:r w:rsidR="00687949" w:rsidRPr="00687949">
              <w:rPr>
                <w:rFonts w:asciiTheme="majorHAnsi" w:hAnsiTheme="majorHAnsi"/>
                <w:webHidden/>
              </w:rPr>
              <w:fldChar w:fldCharType="separate"/>
            </w:r>
            <w:r>
              <w:rPr>
                <w:rFonts w:asciiTheme="majorHAnsi" w:hAnsiTheme="majorHAnsi"/>
                <w:webHidden/>
              </w:rPr>
              <w:t>34</w:t>
            </w:r>
            <w:r w:rsidR="00687949" w:rsidRPr="00687949">
              <w:rPr>
                <w:rFonts w:asciiTheme="majorHAnsi" w:hAnsiTheme="majorHAnsi"/>
                <w:webHidden/>
              </w:rPr>
              <w:fldChar w:fldCharType="end"/>
            </w:r>
          </w:hyperlink>
        </w:p>
        <w:p w14:paraId="2A5DD780" w14:textId="51B01C1D" w:rsidR="00687949" w:rsidRPr="00687949" w:rsidRDefault="001E704A">
          <w:pPr>
            <w:pStyle w:val="Sumrio2"/>
            <w:rPr>
              <w:rFonts w:asciiTheme="majorHAnsi" w:eastAsiaTheme="minorEastAsia" w:hAnsiTheme="majorHAnsi"/>
              <w:kern w:val="2"/>
              <w:lang w:eastAsia="pt-BR"/>
              <w14:ligatures w14:val="standardContextual"/>
            </w:rPr>
          </w:pPr>
          <w:hyperlink w:anchor="_Toc142556224" w:history="1">
            <w:r w:rsidR="00687949" w:rsidRPr="00687949">
              <w:rPr>
                <w:rStyle w:val="Hyperlink"/>
                <w:rFonts w:asciiTheme="majorHAnsi" w:hAnsiTheme="majorHAnsi"/>
              </w:rPr>
              <w:t>9.</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ADOÇÃO DO REGIME DE DESONERAÇÃO TRIBUTÁRIA</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_Toc142556224 \h </w:instrText>
            </w:r>
            <w:r w:rsidR="00687949" w:rsidRPr="00687949">
              <w:rPr>
                <w:rFonts w:asciiTheme="majorHAnsi" w:hAnsiTheme="majorHAnsi"/>
                <w:webHidden/>
              </w:rPr>
            </w:r>
            <w:r w:rsidR="00687949" w:rsidRPr="00687949">
              <w:rPr>
                <w:rFonts w:asciiTheme="majorHAnsi" w:hAnsiTheme="majorHAnsi"/>
                <w:webHidden/>
              </w:rPr>
              <w:fldChar w:fldCharType="separate"/>
            </w:r>
            <w:r>
              <w:rPr>
                <w:rFonts w:asciiTheme="majorHAnsi" w:hAnsiTheme="majorHAnsi"/>
                <w:webHidden/>
              </w:rPr>
              <w:t>35</w:t>
            </w:r>
            <w:r w:rsidR="00687949" w:rsidRPr="00687949">
              <w:rPr>
                <w:rFonts w:asciiTheme="majorHAnsi" w:hAnsiTheme="majorHAnsi"/>
                <w:webHidden/>
              </w:rPr>
              <w:fldChar w:fldCharType="end"/>
            </w:r>
          </w:hyperlink>
        </w:p>
        <w:p w14:paraId="6D210238" w14:textId="0D2DB2B8" w:rsidR="00687949" w:rsidRPr="00687949" w:rsidRDefault="001E704A">
          <w:pPr>
            <w:pStyle w:val="Sumrio2"/>
            <w:rPr>
              <w:rFonts w:asciiTheme="majorHAnsi" w:eastAsiaTheme="minorEastAsia" w:hAnsiTheme="majorHAnsi"/>
              <w:kern w:val="2"/>
              <w:lang w:eastAsia="pt-BR"/>
              <w14:ligatures w14:val="standardContextual"/>
            </w:rPr>
          </w:pPr>
          <w:hyperlink w:anchor="_Toc142556225" w:history="1">
            <w:r w:rsidR="00687949" w:rsidRPr="00687949">
              <w:rPr>
                <w:rStyle w:val="Hyperlink"/>
                <w:rFonts w:asciiTheme="majorHAnsi" w:hAnsiTheme="majorHAnsi"/>
                <w:lang w:eastAsia="pt-BR"/>
              </w:rPr>
              <w:t>10.</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lang w:eastAsia="pt-BR"/>
              </w:rPr>
              <w:t>DETALHAMENTO DA COMPOSIÇÃO DO PERCENTUAL DE BDI.</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_Toc142556225 \h </w:instrText>
            </w:r>
            <w:r w:rsidR="00687949" w:rsidRPr="00687949">
              <w:rPr>
                <w:rFonts w:asciiTheme="majorHAnsi" w:hAnsiTheme="majorHAnsi"/>
                <w:webHidden/>
              </w:rPr>
            </w:r>
            <w:r w:rsidR="00687949" w:rsidRPr="00687949">
              <w:rPr>
                <w:rFonts w:asciiTheme="majorHAnsi" w:hAnsiTheme="majorHAnsi"/>
                <w:webHidden/>
              </w:rPr>
              <w:fldChar w:fldCharType="separate"/>
            </w:r>
            <w:r>
              <w:rPr>
                <w:rFonts w:asciiTheme="majorHAnsi" w:hAnsiTheme="majorHAnsi"/>
                <w:webHidden/>
              </w:rPr>
              <w:t>37</w:t>
            </w:r>
            <w:r w:rsidR="00687949" w:rsidRPr="00687949">
              <w:rPr>
                <w:rFonts w:asciiTheme="majorHAnsi" w:hAnsiTheme="majorHAnsi"/>
                <w:webHidden/>
              </w:rPr>
              <w:fldChar w:fldCharType="end"/>
            </w:r>
          </w:hyperlink>
        </w:p>
        <w:p w14:paraId="265F0B71" w14:textId="55DF51AB" w:rsidR="00687949" w:rsidRPr="00687949" w:rsidRDefault="001E704A">
          <w:pPr>
            <w:pStyle w:val="Sumrio2"/>
            <w:rPr>
              <w:rFonts w:asciiTheme="majorHAnsi" w:eastAsiaTheme="minorEastAsia" w:hAnsiTheme="majorHAnsi"/>
              <w:kern w:val="2"/>
              <w:lang w:eastAsia="pt-BR"/>
              <w14:ligatures w14:val="standardContextual"/>
            </w:rPr>
          </w:pPr>
          <w:hyperlink w:anchor="_Toc142556226" w:history="1">
            <w:r w:rsidR="00687949" w:rsidRPr="00687949">
              <w:rPr>
                <w:rStyle w:val="Hyperlink"/>
                <w:rFonts w:asciiTheme="majorHAnsi" w:hAnsiTheme="majorHAnsi"/>
                <w:lang w:eastAsia="pt-BR"/>
              </w:rPr>
              <w:t>11.</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lang w:eastAsia="pt-BR"/>
              </w:rPr>
              <w:t>BDI REDUZIDO SOBRE OS CUSTOS DOS MATERIAIS E EQUIPAMENTOS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_Toc142556226 \h </w:instrText>
            </w:r>
            <w:r w:rsidR="00687949" w:rsidRPr="00687949">
              <w:rPr>
                <w:rFonts w:asciiTheme="majorHAnsi" w:hAnsiTheme="majorHAnsi"/>
                <w:webHidden/>
              </w:rPr>
            </w:r>
            <w:r w:rsidR="00687949" w:rsidRPr="00687949">
              <w:rPr>
                <w:rFonts w:asciiTheme="majorHAnsi" w:hAnsiTheme="majorHAnsi"/>
                <w:webHidden/>
              </w:rPr>
              <w:fldChar w:fldCharType="separate"/>
            </w:r>
            <w:r>
              <w:rPr>
                <w:rFonts w:asciiTheme="majorHAnsi" w:hAnsiTheme="majorHAnsi"/>
                <w:webHidden/>
              </w:rPr>
              <w:t>38</w:t>
            </w:r>
            <w:r w:rsidR="00687949" w:rsidRPr="00687949">
              <w:rPr>
                <w:rFonts w:asciiTheme="majorHAnsi" w:hAnsiTheme="majorHAnsi"/>
                <w:webHidden/>
              </w:rPr>
              <w:fldChar w:fldCharType="end"/>
            </w:r>
          </w:hyperlink>
        </w:p>
        <w:p w14:paraId="2746B383" w14:textId="6919F377" w:rsidR="00687949" w:rsidRPr="00687949" w:rsidRDefault="001E704A">
          <w:pPr>
            <w:pStyle w:val="Sumrio2"/>
            <w:rPr>
              <w:rFonts w:asciiTheme="majorHAnsi" w:eastAsiaTheme="minorEastAsia" w:hAnsiTheme="majorHAnsi"/>
              <w:kern w:val="2"/>
              <w:lang w:eastAsia="pt-BR"/>
              <w14:ligatures w14:val="standardContextual"/>
            </w:rPr>
          </w:pPr>
          <w:hyperlink w:anchor="_Toc142556227" w:history="1">
            <w:r w:rsidR="00687949" w:rsidRPr="00687949">
              <w:rPr>
                <w:rStyle w:val="Hyperlink"/>
                <w:rFonts w:asciiTheme="majorHAnsi" w:hAnsiTheme="majorHAnsi"/>
                <w:lang w:eastAsia="pt-BR"/>
              </w:rPr>
              <w:t>12.</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lang w:eastAsia="pt-BR"/>
              </w:rPr>
              <w:t>ELABORAÇÃO DE CRONOGRAMA FÍSICO-FINANCEIRO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_Toc142556227 \h </w:instrText>
            </w:r>
            <w:r w:rsidR="00687949" w:rsidRPr="00687949">
              <w:rPr>
                <w:rFonts w:asciiTheme="majorHAnsi" w:hAnsiTheme="majorHAnsi"/>
                <w:webHidden/>
              </w:rPr>
            </w:r>
            <w:r w:rsidR="00687949" w:rsidRPr="00687949">
              <w:rPr>
                <w:rFonts w:asciiTheme="majorHAnsi" w:hAnsiTheme="majorHAnsi"/>
                <w:webHidden/>
              </w:rPr>
              <w:fldChar w:fldCharType="separate"/>
            </w:r>
            <w:r>
              <w:rPr>
                <w:rFonts w:asciiTheme="majorHAnsi" w:hAnsiTheme="majorHAnsi"/>
                <w:webHidden/>
              </w:rPr>
              <w:t>39</w:t>
            </w:r>
            <w:r w:rsidR="00687949" w:rsidRPr="00687949">
              <w:rPr>
                <w:rFonts w:asciiTheme="majorHAnsi" w:hAnsiTheme="majorHAnsi"/>
                <w:webHidden/>
              </w:rPr>
              <w:fldChar w:fldCharType="end"/>
            </w:r>
          </w:hyperlink>
        </w:p>
        <w:p w14:paraId="5E616AAD" w14:textId="03EF1D6A" w:rsidR="00687949" w:rsidRPr="00687949" w:rsidRDefault="001E704A">
          <w:pPr>
            <w:pStyle w:val="Sumrio2"/>
            <w:rPr>
              <w:rFonts w:asciiTheme="majorHAnsi" w:eastAsiaTheme="minorEastAsia" w:hAnsiTheme="majorHAnsi"/>
              <w:kern w:val="2"/>
              <w:lang w:eastAsia="pt-BR"/>
              <w14:ligatures w14:val="standardContextual"/>
            </w:rPr>
          </w:pPr>
          <w:hyperlink w:anchor="_Toc142556228" w:history="1">
            <w:r w:rsidR="00687949" w:rsidRPr="00687949">
              <w:rPr>
                <w:rStyle w:val="Hyperlink"/>
                <w:rFonts w:asciiTheme="majorHAnsi" w:hAnsiTheme="majorHAnsi"/>
                <w:lang w:eastAsia="pt-BR"/>
              </w:rPr>
              <w:t>13.</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lang w:eastAsia="pt-BR"/>
              </w:rPr>
              <w:t>PROJETO EXECUTIVO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_Toc142556228 \h </w:instrText>
            </w:r>
            <w:r w:rsidR="00687949" w:rsidRPr="00687949">
              <w:rPr>
                <w:rFonts w:asciiTheme="majorHAnsi" w:hAnsiTheme="majorHAnsi"/>
                <w:webHidden/>
              </w:rPr>
            </w:r>
            <w:r w:rsidR="00687949" w:rsidRPr="00687949">
              <w:rPr>
                <w:rFonts w:asciiTheme="majorHAnsi" w:hAnsiTheme="majorHAnsi"/>
                <w:webHidden/>
              </w:rPr>
              <w:fldChar w:fldCharType="separate"/>
            </w:r>
            <w:r>
              <w:rPr>
                <w:rFonts w:asciiTheme="majorHAnsi" w:hAnsiTheme="majorHAnsi"/>
                <w:webHidden/>
              </w:rPr>
              <w:t>40</w:t>
            </w:r>
            <w:r w:rsidR="00687949" w:rsidRPr="00687949">
              <w:rPr>
                <w:rFonts w:asciiTheme="majorHAnsi" w:hAnsiTheme="majorHAnsi"/>
                <w:webHidden/>
              </w:rPr>
              <w:fldChar w:fldCharType="end"/>
            </w:r>
          </w:hyperlink>
        </w:p>
        <w:p w14:paraId="5A4650A1" w14:textId="73EDC5D2" w:rsidR="00687949" w:rsidRPr="00687949" w:rsidRDefault="001E704A">
          <w:pPr>
            <w:pStyle w:val="Sumrio2"/>
            <w:rPr>
              <w:rFonts w:asciiTheme="majorHAnsi" w:eastAsiaTheme="minorEastAsia" w:hAnsiTheme="majorHAnsi"/>
              <w:kern w:val="2"/>
              <w:lang w:eastAsia="pt-BR"/>
              <w14:ligatures w14:val="standardContextual"/>
            </w:rPr>
          </w:pPr>
          <w:hyperlink w:anchor="_Toc142556229" w:history="1">
            <w:r w:rsidR="00687949" w:rsidRPr="00687949">
              <w:rPr>
                <w:rStyle w:val="Hyperlink"/>
                <w:rFonts w:asciiTheme="majorHAnsi" w:hAnsiTheme="majorHAnsi"/>
                <w:lang w:eastAsia="pt-BR"/>
              </w:rPr>
              <w:t>14.</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lang w:eastAsia="pt-BR"/>
              </w:rPr>
              <w:t>QUALIFICAÇÃO TÉCNICA</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_Toc142556229 \h </w:instrText>
            </w:r>
            <w:r w:rsidR="00687949" w:rsidRPr="00687949">
              <w:rPr>
                <w:rFonts w:asciiTheme="majorHAnsi" w:hAnsiTheme="majorHAnsi"/>
                <w:webHidden/>
              </w:rPr>
            </w:r>
            <w:r w:rsidR="00687949" w:rsidRPr="00687949">
              <w:rPr>
                <w:rFonts w:asciiTheme="majorHAnsi" w:hAnsiTheme="majorHAnsi"/>
                <w:webHidden/>
              </w:rPr>
              <w:fldChar w:fldCharType="separate"/>
            </w:r>
            <w:r>
              <w:rPr>
                <w:rFonts w:asciiTheme="majorHAnsi" w:hAnsiTheme="majorHAnsi"/>
                <w:webHidden/>
              </w:rPr>
              <w:t>41</w:t>
            </w:r>
            <w:r w:rsidR="00687949" w:rsidRPr="00687949">
              <w:rPr>
                <w:rFonts w:asciiTheme="majorHAnsi" w:hAnsiTheme="majorHAnsi"/>
                <w:webHidden/>
              </w:rPr>
              <w:fldChar w:fldCharType="end"/>
            </w:r>
          </w:hyperlink>
        </w:p>
        <w:p w14:paraId="56900BE6" w14:textId="1E0D05F9" w:rsidR="00687949" w:rsidRPr="00687949" w:rsidRDefault="001E704A">
          <w:pPr>
            <w:pStyle w:val="Sumrio2"/>
            <w:rPr>
              <w:rFonts w:asciiTheme="majorHAnsi" w:eastAsiaTheme="minorEastAsia" w:hAnsiTheme="majorHAnsi"/>
              <w:kern w:val="2"/>
              <w:lang w:eastAsia="pt-BR"/>
              <w14:ligatures w14:val="standardContextual"/>
            </w:rPr>
          </w:pPr>
          <w:hyperlink w:anchor="_Toc142556230" w:history="1">
            <w:r w:rsidR="00687949" w:rsidRPr="00687949">
              <w:rPr>
                <w:rStyle w:val="Hyperlink"/>
                <w:rFonts w:asciiTheme="majorHAnsi" w:hAnsiTheme="majorHAnsi"/>
                <w:lang w:eastAsia="pt-BR"/>
              </w:rPr>
              <w:t>15.</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lang w:eastAsia="pt-BR"/>
              </w:rPr>
              <w:t>VISTORIA</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_Toc142556230 \h </w:instrText>
            </w:r>
            <w:r w:rsidR="00687949" w:rsidRPr="00687949">
              <w:rPr>
                <w:rFonts w:asciiTheme="majorHAnsi" w:hAnsiTheme="majorHAnsi"/>
                <w:webHidden/>
              </w:rPr>
            </w:r>
            <w:r w:rsidR="00687949" w:rsidRPr="00687949">
              <w:rPr>
                <w:rFonts w:asciiTheme="majorHAnsi" w:hAnsiTheme="majorHAnsi"/>
                <w:webHidden/>
              </w:rPr>
              <w:fldChar w:fldCharType="separate"/>
            </w:r>
            <w:r>
              <w:rPr>
                <w:rFonts w:asciiTheme="majorHAnsi" w:hAnsiTheme="majorHAnsi"/>
                <w:webHidden/>
              </w:rPr>
              <w:t>45</w:t>
            </w:r>
            <w:r w:rsidR="00687949" w:rsidRPr="00687949">
              <w:rPr>
                <w:rFonts w:asciiTheme="majorHAnsi" w:hAnsiTheme="majorHAnsi"/>
                <w:webHidden/>
              </w:rPr>
              <w:fldChar w:fldCharType="end"/>
            </w:r>
          </w:hyperlink>
        </w:p>
        <w:p w14:paraId="6F256778" w14:textId="5AAEAFDD" w:rsidR="00687949" w:rsidRPr="00687949" w:rsidRDefault="001E704A">
          <w:pPr>
            <w:pStyle w:val="Sumrio2"/>
            <w:rPr>
              <w:rFonts w:asciiTheme="majorHAnsi" w:eastAsiaTheme="minorEastAsia" w:hAnsiTheme="majorHAnsi"/>
              <w:kern w:val="2"/>
              <w:lang w:eastAsia="pt-BR"/>
              <w14:ligatures w14:val="standardContextual"/>
            </w:rPr>
          </w:pPr>
          <w:hyperlink w:anchor="_Toc142556231" w:history="1">
            <w:r w:rsidR="00687949" w:rsidRPr="00687949">
              <w:rPr>
                <w:rStyle w:val="Hyperlink"/>
                <w:rFonts w:asciiTheme="majorHAnsi" w:hAnsiTheme="majorHAnsi"/>
                <w:lang w:eastAsia="pt-BR"/>
              </w:rPr>
              <w:t>16.</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lang w:eastAsia="pt-BR"/>
              </w:rPr>
              <w:t>SUBCONTRATAÇÃO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_Toc142556231 \h </w:instrText>
            </w:r>
            <w:r w:rsidR="00687949" w:rsidRPr="00687949">
              <w:rPr>
                <w:rFonts w:asciiTheme="majorHAnsi" w:hAnsiTheme="majorHAnsi"/>
                <w:webHidden/>
              </w:rPr>
            </w:r>
            <w:r w:rsidR="00687949" w:rsidRPr="00687949">
              <w:rPr>
                <w:rFonts w:asciiTheme="majorHAnsi" w:hAnsiTheme="majorHAnsi"/>
                <w:webHidden/>
              </w:rPr>
              <w:fldChar w:fldCharType="separate"/>
            </w:r>
            <w:r>
              <w:rPr>
                <w:rFonts w:asciiTheme="majorHAnsi" w:hAnsiTheme="majorHAnsi"/>
                <w:webHidden/>
              </w:rPr>
              <w:t>46</w:t>
            </w:r>
            <w:r w:rsidR="00687949" w:rsidRPr="00687949">
              <w:rPr>
                <w:rFonts w:asciiTheme="majorHAnsi" w:hAnsiTheme="majorHAnsi"/>
                <w:webHidden/>
              </w:rPr>
              <w:fldChar w:fldCharType="end"/>
            </w:r>
          </w:hyperlink>
        </w:p>
        <w:p w14:paraId="08FF5C89" w14:textId="0A08CFA0" w:rsidR="00687949" w:rsidRPr="00687949" w:rsidRDefault="001E704A">
          <w:pPr>
            <w:pStyle w:val="Sumrio2"/>
            <w:rPr>
              <w:rFonts w:asciiTheme="majorHAnsi" w:eastAsiaTheme="minorEastAsia" w:hAnsiTheme="majorHAnsi"/>
              <w:kern w:val="2"/>
              <w:lang w:eastAsia="pt-BR"/>
              <w14:ligatures w14:val="standardContextual"/>
            </w:rPr>
          </w:pPr>
          <w:hyperlink w:anchor="_Toc142556232" w:history="1">
            <w:r w:rsidR="00687949" w:rsidRPr="00687949">
              <w:rPr>
                <w:rStyle w:val="Hyperlink"/>
                <w:rFonts w:asciiTheme="majorHAnsi" w:hAnsiTheme="majorHAnsi"/>
                <w:lang w:eastAsia="pt-BR"/>
              </w:rPr>
              <w:t>17.</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lang w:eastAsia="pt-BR"/>
              </w:rPr>
              <w:t>DEFINIÇÃO DO PERCENTUAL DE CAPITAL OU PATRIMÔNIO LÍQUIDO MÍNIMO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_Toc142556232 \h </w:instrText>
            </w:r>
            <w:r w:rsidR="00687949" w:rsidRPr="00687949">
              <w:rPr>
                <w:rFonts w:asciiTheme="majorHAnsi" w:hAnsiTheme="majorHAnsi"/>
                <w:webHidden/>
              </w:rPr>
            </w:r>
            <w:r w:rsidR="00687949" w:rsidRPr="00687949">
              <w:rPr>
                <w:rFonts w:asciiTheme="majorHAnsi" w:hAnsiTheme="majorHAnsi"/>
                <w:webHidden/>
              </w:rPr>
              <w:fldChar w:fldCharType="separate"/>
            </w:r>
            <w:r>
              <w:rPr>
                <w:rFonts w:asciiTheme="majorHAnsi" w:hAnsiTheme="majorHAnsi"/>
                <w:webHidden/>
              </w:rPr>
              <w:t>48</w:t>
            </w:r>
            <w:r w:rsidR="00687949" w:rsidRPr="00687949">
              <w:rPr>
                <w:rFonts w:asciiTheme="majorHAnsi" w:hAnsiTheme="majorHAnsi"/>
                <w:webHidden/>
              </w:rPr>
              <w:fldChar w:fldCharType="end"/>
            </w:r>
          </w:hyperlink>
        </w:p>
        <w:p w14:paraId="478DA3A6" w14:textId="3E88A719" w:rsidR="00687949" w:rsidRPr="00687949" w:rsidRDefault="001E704A">
          <w:pPr>
            <w:pStyle w:val="Sumrio2"/>
            <w:rPr>
              <w:rFonts w:asciiTheme="majorHAnsi" w:eastAsiaTheme="minorEastAsia" w:hAnsiTheme="majorHAnsi"/>
              <w:kern w:val="2"/>
              <w:lang w:eastAsia="pt-BR"/>
              <w14:ligatures w14:val="standardContextual"/>
            </w:rPr>
          </w:pPr>
          <w:hyperlink w:anchor="_Toc142556233" w:history="1">
            <w:r w:rsidR="00687949" w:rsidRPr="00687949">
              <w:rPr>
                <w:rStyle w:val="Hyperlink"/>
                <w:rFonts w:asciiTheme="majorHAnsi" w:hAnsiTheme="majorHAnsi"/>
              </w:rPr>
              <w:t>18.</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PARTICIPAÇÃO DE CONSÓRCIOS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_Toc142556233 \h </w:instrText>
            </w:r>
            <w:r w:rsidR="00687949" w:rsidRPr="00687949">
              <w:rPr>
                <w:rFonts w:asciiTheme="majorHAnsi" w:hAnsiTheme="majorHAnsi"/>
                <w:webHidden/>
              </w:rPr>
            </w:r>
            <w:r w:rsidR="00687949" w:rsidRPr="00687949">
              <w:rPr>
                <w:rFonts w:asciiTheme="majorHAnsi" w:hAnsiTheme="majorHAnsi"/>
                <w:webHidden/>
              </w:rPr>
              <w:fldChar w:fldCharType="separate"/>
            </w:r>
            <w:r>
              <w:rPr>
                <w:rFonts w:asciiTheme="majorHAnsi" w:hAnsiTheme="majorHAnsi"/>
                <w:webHidden/>
              </w:rPr>
              <w:t>48</w:t>
            </w:r>
            <w:r w:rsidR="00687949" w:rsidRPr="00687949">
              <w:rPr>
                <w:rFonts w:asciiTheme="majorHAnsi" w:hAnsiTheme="majorHAnsi"/>
                <w:webHidden/>
              </w:rPr>
              <w:fldChar w:fldCharType="end"/>
            </w:r>
          </w:hyperlink>
        </w:p>
        <w:p w14:paraId="1FCBF3C5" w14:textId="7A46DE75" w:rsidR="00687949" w:rsidRPr="00687949" w:rsidRDefault="001E704A">
          <w:pPr>
            <w:pStyle w:val="Sumrio2"/>
            <w:rPr>
              <w:rFonts w:asciiTheme="majorHAnsi" w:eastAsiaTheme="minorEastAsia" w:hAnsiTheme="majorHAnsi"/>
              <w:kern w:val="2"/>
              <w:lang w:eastAsia="pt-BR"/>
              <w14:ligatures w14:val="standardContextual"/>
            </w:rPr>
          </w:pPr>
          <w:hyperlink w:anchor="_Toc142556234" w:history="1">
            <w:r w:rsidR="00687949" w:rsidRPr="00687949">
              <w:rPr>
                <w:rStyle w:val="Hyperlink"/>
                <w:rFonts w:asciiTheme="majorHAnsi" w:hAnsiTheme="majorHAnsi"/>
              </w:rPr>
              <w:t>19.</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PARTICIPAÇÃO DE COOPERATIVAS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_Toc142556234 \h </w:instrText>
            </w:r>
            <w:r w:rsidR="00687949" w:rsidRPr="00687949">
              <w:rPr>
                <w:rFonts w:asciiTheme="majorHAnsi" w:hAnsiTheme="majorHAnsi"/>
                <w:webHidden/>
              </w:rPr>
            </w:r>
            <w:r w:rsidR="00687949" w:rsidRPr="00687949">
              <w:rPr>
                <w:rFonts w:asciiTheme="majorHAnsi" w:hAnsiTheme="majorHAnsi"/>
                <w:webHidden/>
              </w:rPr>
              <w:fldChar w:fldCharType="separate"/>
            </w:r>
            <w:r>
              <w:rPr>
                <w:rFonts w:asciiTheme="majorHAnsi" w:hAnsiTheme="majorHAnsi"/>
                <w:webHidden/>
              </w:rPr>
              <w:t>49</w:t>
            </w:r>
            <w:r w:rsidR="00687949" w:rsidRPr="00687949">
              <w:rPr>
                <w:rFonts w:asciiTheme="majorHAnsi" w:hAnsiTheme="majorHAnsi"/>
                <w:webHidden/>
              </w:rPr>
              <w:fldChar w:fldCharType="end"/>
            </w:r>
          </w:hyperlink>
        </w:p>
        <w:p w14:paraId="6E538596" w14:textId="72CBA991" w:rsidR="00687949" w:rsidRPr="00687949" w:rsidRDefault="001E704A">
          <w:pPr>
            <w:pStyle w:val="Sumrio2"/>
            <w:rPr>
              <w:rFonts w:asciiTheme="majorHAnsi" w:eastAsiaTheme="minorEastAsia" w:hAnsiTheme="majorHAnsi"/>
              <w:kern w:val="2"/>
              <w:lang w:eastAsia="pt-BR"/>
              <w14:ligatures w14:val="standardContextual"/>
            </w:rPr>
          </w:pPr>
          <w:hyperlink w:anchor="_Toc142556235" w:history="1">
            <w:r w:rsidR="00687949" w:rsidRPr="00687949">
              <w:rPr>
                <w:rStyle w:val="Hyperlink"/>
                <w:rFonts w:asciiTheme="majorHAnsi" w:hAnsiTheme="majorHAnsi"/>
              </w:rPr>
              <w:t>20.</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GARANTIA DA EXECUÇÃO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_Toc142556235 \h </w:instrText>
            </w:r>
            <w:r w:rsidR="00687949" w:rsidRPr="00687949">
              <w:rPr>
                <w:rFonts w:asciiTheme="majorHAnsi" w:hAnsiTheme="majorHAnsi"/>
                <w:webHidden/>
              </w:rPr>
            </w:r>
            <w:r w:rsidR="00687949" w:rsidRPr="00687949">
              <w:rPr>
                <w:rFonts w:asciiTheme="majorHAnsi" w:hAnsiTheme="majorHAnsi"/>
                <w:webHidden/>
              </w:rPr>
              <w:fldChar w:fldCharType="separate"/>
            </w:r>
            <w:r>
              <w:rPr>
                <w:rFonts w:asciiTheme="majorHAnsi" w:hAnsiTheme="majorHAnsi"/>
                <w:webHidden/>
              </w:rPr>
              <w:t>51</w:t>
            </w:r>
            <w:r w:rsidR="00687949" w:rsidRPr="00687949">
              <w:rPr>
                <w:rFonts w:asciiTheme="majorHAnsi" w:hAnsiTheme="majorHAnsi"/>
                <w:webHidden/>
              </w:rPr>
              <w:fldChar w:fldCharType="end"/>
            </w:r>
          </w:hyperlink>
        </w:p>
        <w:p w14:paraId="1538AE1A" w14:textId="3270F3EF" w:rsidR="00687949" w:rsidRPr="00687949" w:rsidRDefault="001E704A">
          <w:pPr>
            <w:pStyle w:val="Sumrio2"/>
            <w:rPr>
              <w:rFonts w:asciiTheme="majorHAnsi" w:eastAsiaTheme="minorEastAsia" w:hAnsiTheme="majorHAnsi"/>
              <w:kern w:val="2"/>
              <w:lang w:eastAsia="pt-BR"/>
              <w14:ligatures w14:val="standardContextual"/>
            </w:rPr>
          </w:pPr>
          <w:hyperlink w:anchor="_Toc142556236" w:history="1">
            <w:r w:rsidR="00687949" w:rsidRPr="00687949">
              <w:rPr>
                <w:rStyle w:val="Hyperlink"/>
                <w:rFonts w:asciiTheme="majorHAnsi" w:hAnsiTheme="majorHAnsi"/>
              </w:rPr>
              <w:t>21.</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DA SUSTENTABILIDADE</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_Toc142556236 \h </w:instrText>
            </w:r>
            <w:r w:rsidR="00687949" w:rsidRPr="00687949">
              <w:rPr>
                <w:rFonts w:asciiTheme="majorHAnsi" w:hAnsiTheme="majorHAnsi"/>
                <w:webHidden/>
              </w:rPr>
            </w:r>
            <w:r w:rsidR="00687949" w:rsidRPr="00687949">
              <w:rPr>
                <w:rFonts w:asciiTheme="majorHAnsi" w:hAnsiTheme="majorHAnsi"/>
                <w:webHidden/>
              </w:rPr>
              <w:fldChar w:fldCharType="separate"/>
            </w:r>
            <w:r>
              <w:rPr>
                <w:rFonts w:asciiTheme="majorHAnsi" w:hAnsiTheme="majorHAnsi"/>
                <w:webHidden/>
              </w:rPr>
              <w:t>53</w:t>
            </w:r>
            <w:r w:rsidR="00687949" w:rsidRPr="00687949">
              <w:rPr>
                <w:rFonts w:asciiTheme="majorHAnsi" w:hAnsiTheme="majorHAnsi"/>
                <w:webHidden/>
              </w:rPr>
              <w:fldChar w:fldCharType="end"/>
            </w:r>
          </w:hyperlink>
        </w:p>
        <w:p w14:paraId="3A7BD06C" w14:textId="7D209B37" w:rsidR="00687949" w:rsidRPr="00687949" w:rsidRDefault="001E704A">
          <w:pPr>
            <w:pStyle w:val="Sumrio3"/>
            <w:tabs>
              <w:tab w:val="left" w:pos="1200"/>
              <w:tab w:val="right" w:leader="dot" w:pos="9060"/>
            </w:tabs>
            <w:rPr>
              <w:rStyle w:val="Hyperlink"/>
              <w:rFonts w:asciiTheme="majorHAnsi" w:hAnsiTheme="majorHAnsi" w:cstheme="majorHAnsi"/>
              <w:noProof/>
            </w:rPr>
          </w:pPr>
          <w:hyperlink w:anchor="_Toc142556237" w:history="1">
            <w:r w:rsidR="00687949" w:rsidRPr="00687949">
              <w:rPr>
                <w:rStyle w:val="Hyperlink"/>
                <w:rFonts w:asciiTheme="majorHAnsi" w:hAnsiTheme="majorHAnsi" w:cstheme="majorHAnsi"/>
                <w:noProof/>
              </w:rPr>
              <w:t>21.1.</w:t>
            </w:r>
            <w:r w:rsidR="00687949" w:rsidRPr="00687949">
              <w:rPr>
                <w:rStyle w:val="Hyperlink"/>
                <w:rFonts w:asciiTheme="majorHAnsi" w:hAnsiTheme="majorHAnsi" w:cstheme="majorHAnsi"/>
                <w:noProof/>
              </w:rPr>
              <w:tab/>
              <w:t>Desenvolvimento nacional sustentável: critérios de sustentabilidade</w:t>
            </w:r>
            <w:r w:rsidR="00687949" w:rsidRPr="00687949">
              <w:rPr>
                <w:rStyle w:val="Hyperlink"/>
                <w:rFonts w:asciiTheme="majorHAnsi" w:hAnsiTheme="majorHAnsi" w:cstheme="majorHAnsi"/>
                <w:noProof/>
                <w:webHidden/>
              </w:rPr>
              <w:tab/>
            </w:r>
            <w:r w:rsidR="00687949" w:rsidRPr="00687949">
              <w:rPr>
                <w:rStyle w:val="Hyperlink"/>
                <w:rFonts w:asciiTheme="majorHAnsi" w:hAnsiTheme="majorHAnsi" w:cstheme="majorHAnsi"/>
                <w:noProof/>
                <w:webHidden/>
              </w:rPr>
              <w:fldChar w:fldCharType="begin"/>
            </w:r>
            <w:r w:rsidR="00687949" w:rsidRPr="00687949">
              <w:rPr>
                <w:rStyle w:val="Hyperlink"/>
                <w:rFonts w:asciiTheme="majorHAnsi" w:hAnsiTheme="majorHAnsi" w:cstheme="majorHAnsi"/>
                <w:noProof/>
                <w:webHidden/>
              </w:rPr>
              <w:instrText xml:space="preserve"> PAGEREF _Toc142556237 \h </w:instrText>
            </w:r>
            <w:r w:rsidR="00687949" w:rsidRPr="00687949">
              <w:rPr>
                <w:rStyle w:val="Hyperlink"/>
                <w:rFonts w:asciiTheme="majorHAnsi" w:hAnsiTheme="majorHAnsi" w:cstheme="majorHAnsi"/>
                <w:noProof/>
                <w:webHidden/>
              </w:rPr>
            </w:r>
            <w:r w:rsidR="00687949" w:rsidRPr="00687949">
              <w:rPr>
                <w:rStyle w:val="Hyperlink"/>
                <w:rFonts w:asciiTheme="majorHAnsi" w:hAnsiTheme="majorHAnsi" w:cstheme="majorHAnsi"/>
                <w:noProof/>
                <w:webHidden/>
              </w:rPr>
              <w:fldChar w:fldCharType="separate"/>
            </w:r>
            <w:r>
              <w:rPr>
                <w:rStyle w:val="Hyperlink"/>
                <w:rFonts w:asciiTheme="majorHAnsi" w:hAnsiTheme="majorHAnsi" w:cstheme="majorHAnsi"/>
                <w:noProof/>
                <w:webHidden/>
              </w:rPr>
              <w:t>53</w:t>
            </w:r>
            <w:r w:rsidR="00687949" w:rsidRPr="00687949">
              <w:rPr>
                <w:rStyle w:val="Hyperlink"/>
                <w:rFonts w:asciiTheme="majorHAnsi" w:hAnsiTheme="majorHAnsi" w:cstheme="majorHAnsi"/>
                <w:noProof/>
                <w:webHidden/>
              </w:rPr>
              <w:fldChar w:fldCharType="end"/>
            </w:r>
          </w:hyperlink>
        </w:p>
        <w:p w14:paraId="3AF782D2" w14:textId="0E5E7D61" w:rsidR="00687949" w:rsidRPr="00687949" w:rsidRDefault="001E704A">
          <w:pPr>
            <w:pStyle w:val="Sumrio3"/>
            <w:tabs>
              <w:tab w:val="left" w:pos="1200"/>
              <w:tab w:val="right" w:leader="dot" w:pos="9060"/>
            </w:tabs>
            <w:rPr>
              <w:rStyle w:val="Hyperlink"/>
              <w:rFonts w:asciiTheme="majorHAnsi" w:hAnsiTheme="majorHAnsi" w:cstheme="majorHAnsi"/>
              <w:noProof/>
            </w:rPr>
          </w:pPr>
          <w:hyperlink w:anchor="_Toc142556238" w:history="1">
            <w:r w:rsidR="00687949" w:rsidRPr="00687949">
              <w:rPr>
                <w:rStyle w:val="Hyperlink"/>
                <w:rFonts w:asciiTheme="majorHAnsi" w:hAnsiTheme="majorHAnsi" w:cstheme="majorHAnsi"/>
                <w:noProof/>
              </w:rPr>
              <w:t>21.2.</w:t>
            </w:r>
            <w:r w:rsidR="00687949" w:rsidRPr="00687949">
              <w:rPr>
                <w:rStyle w:val="Hyperlink"/>
                <w:rFonts w:asciiTheme="majorHAnsi" w:hAnsiTheme="majorHAnsi" w:cstheme="majorHAnsi"/>
                <w:noProof/>
              </w:rPr>
              <w:tab/>
              <w:t>Da Especificação Técnica</w:t>
            </w:r>
            <w:r w:rsidR="00687949" w:rsidRPr="00687949">
              <w:rPr>
                <w:rStyle w:val="Hyperlink"/>
                <w:rFonts w:asciiTheme="majorHAnsi" w:hAnsiTheme="majorHAnsi" w:cstheme="majorHAnsi"/>
                <w:noProof/>
                <w:webHidden/>
              </w:rPr>
              <w:tab/>
            </w:r>
            <w:r w:rsidR="00687949" w:rsidRPr="00687949">
              <w:rPr>
                <w:rStyle w:val="Hyperlink"/>
                <w:rFonts w:asciiTheme="majorHAnsi" w:hAnsiTheme="majorHAnsi" w:cstheme="majorHAnsi"/>
                <w:noProof/>
                <w:webHidden/>
              </w:rPr>
              <w:fldChar w:fldCharType="begin"/>
            </w:r>
            <w:r w:rsidR="00687949" w:rsidRPr="00687949">
              <w:rPr>
                <w:rStyle w:val="Hyperlink"/>
                <w:rFonts w:asciiTheme="majorHAnsi" w:hAnsiTheme="majorHAnsi" w:cstheme="majorHAnsi"/>
                <w:noProof/>
                <w:webHidden/>
              </w:rPr>
              <w:instrText xml:space="preserve"> PAGEREF _Toc142556238 \h </w:instrText>
            </w:r>
            <w:r w:rsidR="00687949" w:rsidRPr="00687949">
              <w:rPr>
                <w:rStyle w:val="Hyperlink"/>
                <w:rFonts w:asciiTheme="majorHAnsi" w:hAnsiTheme="majorHAnsi" w:cstheme="majorHAnsi"/>
                <w:noProof/>
                <w:webHidden/>
              </w:rPr>
            </w:r>
            <w:r w:rsidR="00687949" w:rsidRPr="00687949">
              <w:rPr>
                <w:rStyle w:val="Hyperlink"/>
                <w:rFonts w:asciiTheme="majorHAnsi" w:hAnsiTheme="majorHAnsi" w:cstheme="majorHAnsi"/>
                <w:noProof/>
                <w:webHidden/>
              </w:rPr>
              <w:fldChar w:fldCharType="separate"/>
            </w:r>
            <w:r>
              <w:rPr>
                <w:rStyle w:val="Hyperlink"/>
                <w:rFonts w:asciiTheme="majorHAnsi" w:hAnsiTheme="majorHAnsi" w:cstheme="majorHAnsi"/>
                <w:noProof/>
                <w:webHidden/>
              </w:rPr>
              <w:t>54</w:t>
            </w:r>
            <w:r w:rsidR="00687949" w:rsidRPr="00687949">
              <w:rPr>
                <w:rStyle w:val="Hyperlink"/>
                <w:rFonts w:asciiTheme="majorHAnsi" w:hAnsiTheme="majorHAnsi" w:cstheme="majorHAnsi"/>
                <w:noProof/>
                <w:webHidden/>
              </w:rPr>
              <w:fldChar w:fldCharType="end"/>
            </w:r>
          </w:hyperlink>
        </w:p>
        <w:p w14:paraId="446285FC" w14:textId="4E4E398E" w:rsidR="00687949" w:rsidRPr="00687949" w:rsidRDefault="001E704A">
          <w:pPr>
            <w:pStyle w:val="Sumrio3"/>
            <w:tabs>
              <w:tab w:val="left" w:pos="1200"/>
              <w:tab w:val="right" w:leader="dot" w:pos="9060"/>
            </w:tabs>
            <w:rPr>
              <w:rStyle w:val="Hyperlink"/>
              <w:rFonts w:asciiTheme="majorHAnsi" w:hAnsiTheme="majorHAnsi" w:cstheme="majorHAnsi"/>
              <w:noProof/>
            </w:rPr>
          </w:pPr>
          <w:hyperlink w:anchor="_Toc142556239" w:history="1">
            <w:r w:rsidR="00687949" w:rsidRPr="00687949">
              <w:rPr>
                <w:rStyle w:val="Hyperlink"/>
                <w:rFonts w:asciiTheme="majorHAnsi" w:hAnsiTheme="majorHAnsi" w:cstheme="majorHAnsi"/>
                <w:noProof/>
              </w:rPr>
              <w:t>21.3.</w:t>
            </w:r>
            <w:r w:rsidR="00687949" w:rsidRPr="00687949">
              <w:rPr>
                <w:rStyle w:val="Hyperlink"/>
                <w:rFonts w:asciiTheme="majorHAnsi" w:hAnsiTheme="majorHAnsi" w:cstheme="majorHAnsi"/>
                <w:noProof/>
              </w:rPr>
              <w:tab/>
              <w:t>Da Minimização do Impacto</w:t>
            </w:r>
            <w:r w:rsidR="00687949" w:rsidRPr="00687949">
              <w:rPr>
                <w:rStyle w:val="Hyperlink"/>
                <w:rFonts w:asciiTheme="majorHAnsi" w:hAnsiTheme="majorHAnsi" w:cstheme="majorHAnsi"/>
                <w:noProof/>
                <w:webHidden/>
              </w:rPr>
              <w:tab/>
            </w:r>
            <w:r w:rsidR="00687949" w:rsidRPr="00687949">
              <w:rPr>
                <w:rStyle w:val="Hyperlink"/>
                <w:rFonts w:asciiTheme="majorHAnsi" w:hAnsiTheme="majorHAnsi" w:cstheme="majorHAnsi"/>
                <w:noProof/>
                <w:webHidden/>
              </w:rPr>
              <w:fldChar w:fldCharType="begin"/>
            </w:r>
            <w:r w:rsidR="00687949" w:rsidRPr="00687949">
              <w:rPr>
                <w:rStyle w:val="Hyperlink"/>
                <w:rFonts w:asciiTheme="majorHAnsi" w:hAnsiTheme="majorHAnsi" w:cstheme="majorHAnsi"/>
                <w:noProof/>
                <w:webHidden/>
              </w:rPr>
              <w:instrText xml:space="preserve"> PAGEREF _Toc142556239 \h </w:instrText>
            </w:r>
            <w:r w:rsidR="00687949" w:rsidRPr="00687949">
              <w:rPr>
                <w:rStyle w:val="Hyperlink"/>
                <w:rFonts w:asciiTheme="majorHAnsi" w:hAnsiTheme="majorHAnsi" w:cstheme="majorHAnsi"/>
                <w:noProof/>
                <w:webHidden/>
              </w:rPr>
            </w:r>
            <w:r w:rsidR="00687949" w:rsidRPr="00687949">
              <w:rPr>
                <w:rStyle w:val="Hyperlink"/>
                <w:rFonts w:asciiTheme="majorHAnsi" w:hAnsiTheme="majorHAnsi" w:cstheme="majorHAnsi"/>
                <w:noProof/>
                <w:webHidden/>
              </w:rPr>
              <w:fldChar w:fldCharType="separate"/>
            </w:r>
            <w:r>
              <w:rPr>
                <w:rStyle w:val="Hyperlink"/>
                <w:rFonts w:asciiTheme="majorHAnsi" w:hAnsiTheme="majorHAnsi" w:cstheme="majorHAnsi"/>
                <w:noProof/>
                <w:webHidden/>
              </w:rPr>
              <w:t>54</w:t>
            </w:r>
            <w:r w:rsidR="00687949" w:rsidRPr="00687949">
              <w:rPr>
                <w:rStyle w:val="Hyperlink"/>
                <w:rFonts w:asciiTheme="majorHAnsi" w:hAnsiTheme="majorHAnsi" w:cstheme="majorHAnsi"/>
                <w:noProof/>
                <w:webHidden/>
              </w:rPr>
              <w:fldChar w:fldCharType="end"/>
            </w:r>
          </w:hyperlink>
        </w:p>
        <w:p w14:paraId="12BAEA45" w14:textId="4A30C209" w:rsidR="00687949" w:rsidRPr="00687949" w:rsidRDefault="001E704A">
          <w:pPr>
            <w:pStyle w:val="Sumrio3"/>
            <w:tabs>
              <w:tab w:val="left" w:pos="1200"/>
              <w:tab w:val="right" w:leader="dot" w:pos="9060"/>
            </w:tabs>
            <w:rPr>
              <w:rStyle w:val="Hyperlink"/>
              <w:rFonts w:asciiTheme="majorHAnsi" w:hAnsiTheme="majorHAnsi" w:cstheme="majorHAnsi"/>
              <w:noProof/>
            </w:rPr>
          </w:pPr>
          <w:hyperlink w:anchor="_Toc142556240" w:history="1">
            <w:r w:rsidR="00687949" w:rsidRPr="00687949">
              <w:rPr>
                <w:rStyle w:val="Hyperlink"/>
                <w:rFonts w:asciiTheme="majorHAnsi" w:hAnsiTheme="majorHAnsi" w:cstheme="majorHAnsi"/>
                <w:noProof/>
              </w:rPr>
              <w:t>21.4.</w:t>
            </w:r>
            <w:r w:rsidR="00687949" w:rsidRPr="00687949">
              <w:rPr>
                <w:rStyle w:val="Hyperlink"/>
                <w:rFonts w:asciiTheme="majorHAnsi" w:hAnsiTheme="majorHAnsi" w:cstheme="majorHAnsi"/>
                <w:noProof/>
              </w:rPr>
              <w:tab/>
              <w:t>Licenciamento Ambiental</w:t>
            </w:r>
            <w:r w:rsidR="00687949" w:rsidRPr="00687949">
              <w:rPr>
                <w:rStyle w:val="Hyperlink"/>
                <w:rFonts w:asciiTheme="majorHAnsi" w:hAnsiTheme="majorHAnsi" w:cstheme="majorHAnsi"/>
                <w:noProof/>
                <w:webHidden/>
              </w:rPr>
              <w:tab/>
            </w:r>
            <w:r w:rsidR="00687949" w:rsidRPr="00687949">
              <w:rPr>
                <w:rStyle w:val="Hyperlink"/>
                <w:rFonts w:asciiTheme="majorHAnsi" w:hAnsiTheme="majorHAnsi" w:cstheme="majorHAnsi"/>
                <w:noProof/>
                <w:webHidden/>
              </w:rPr>
              <w:fldChar w:fldCharType="begin"/>
            </w:r>
            <w:r w:rsidR="00687949" w:rsidRPr="00687949">
              <w:rPr>
                <w:rStyle w:val="Hyperlink"/>
                <w:rFonts w:asciiTheme="majorHAnsi" w:hAnsiTheme="majorHAnsi" w:cstheme="majorHAnsi"/>
                <w:noProof/>
                <w:webHidden/>
              </w:rPr>
              <w:instrText xml:space="preserve"> PAGEREF _Toc142556240 \h </w:instrText>
            </w:r>
            <w:r w:rsidR="00687949" w:rsidRPr="00687949">
              <w:rPr>
                <w:rStyle w:val="Hyperlink"/>
                <w:rFonts w:asciiTheme="majorHAnsi" w:hAnsiTheme="majorHAnsi" w:cstheme="majorHAnsi"/>
                <w:noProof/>
                <w:webHidden/>
              </w:rPr>
            </w:r>
            <w:r w:rsidR="00687949" w:rsidRPr="00687949">
              <w:rPr>
                <w:rStyle w:val="Hyperlink"/>
                <w:rFonts w:asciiTheme="majorHAnsi" w:hAnsiTheme="majorHAnsi" w:cstheme="majorHAnsi"/>
                <w:noProof/>
                <w:webHidden/>
              </w:rPr>
              <w:fldChar w:fldCharType="separate"/>
            </w:r>
            <w:r>
              <w:rPr>
                <w:rStyle w:val="Hyperlink"/>
                <w:rFonts w:asciiTheme="majorHAnsi" w:hAnsiTheme="majorHAnsi" w:cstheme="majorHAnsi"/>
                <w:noProof/>
                <w:webHidden/>
              </w:rPr>
              <w:t>55</w:t>
            </w:r>
            <w:r w:rsidR="00687949" w:rsidRPr="00687949">
              <w:rPr>
                <w:rStyle w:val="Hyperlink"/>
                <w:rFonts w:asciiTheme="majorHAnsi" w:hAnsiTheme="majorHAnsi" w:cstheme="majorHAnsi"/>
                <w:noProof/>
                <w:webHidden/>
              </w:rPr>
              <w:fldChar w:fldCharType="end"/>
            </w:r>
          </w:hyperlink>
        </w:p>
        <w:p w14:paraId="27BA04C0" w14:textId="0A0B68CD" w:rsidR="00687949" w:rsidRPr="00687949" w:rsidRDefault="001E704A">
          <w:pPr>
            <w:pStyle w:val="Sumrio3"/>
            <w:tabs>
              <w:tab w:val="left" w:pos="1200"/>
              <w:tab w:val="right" w:leader="dot" w:pos="9060"/>
            </w:tabs>
            <w:rPr>
              <w:rStyle w:val="Hyperlink"/>
              <w:rFonts w:asciiTheme="majorHAnsi" w:hAnsiTheme="majorHAnsi" w:cstheme="majorHAnsi"/>
              <w:noProof/>
            </w:rPr>
          </w:pPr>
          <w:hyperlink w:anchor="_Toc142556241" w:history="1">
            <w:r w:rsidR="00687949" w:rsidRPr="00687949">
              <w:rPr>
                <w:rStyle w:val="Hyperlink"/>
                <w:rFonts w:asciiTheme="majorHAnsi" w:hAnsiTheme="majorHAnsi" w:cstheme="majorHAnsi"/>
                <w:noProof/>
              </w:rPr>
              <w:t>21.5.</w:t>
            </w:r>
            <w:r w:rsidR="00687949" w:rsidRPr="00687949">
              <w:rPr>
                <w:rStyle w:val="Hyperlink"/>
                <w:rFonts w:asciiTheme="majorHAnsi" w:hAnsiTheme="majorHAnsi" w:cstheme="majorHAnsi"/>
                <w:noProof/>
              </w:rPr>
              <w:tab/>
              <w:t>Dos Resíduos e Rejeitos</w:t>
            </w:r>
            <w:r w:rsidR="00687949" w:rsidRPr="00687949">
              <w:rPr>
                <w:rStyle w:val="Hyperlink"/>
                <w:rFonts w:asciiTheme="majorHAnsi" w:hAnsiTheme="majorHAnsi" w:cstheme="majorHAnsi"/>
                <w:noProof/>
                <w:webHidden/>
              </w:rPr>
              <w:tab/>
            </w:r>
            <w:r w:rsidR="00687949" w:rsidRPr="00687949">
              <w:rPr>
                <w:rStyle w:val="Hyperlink"/>
                <w:rFonts w:asciiTheme="majorHAnsi" w:hAnsiTheme="majorHAnsi" w:cstheme="majorHAnsi"/>
                <w:noProof/>
                <w:webHidden/>
              </w:rPr>
              <w:fldChar w:fldCharType="begin"/>
            </w:r>
            <w:r w:rsidR="00687949" w:rsidRPr="00687949">
              <w:rPr>
                <w:rStyle w:val="Hyperlink"/>
                <w:rFonts w:asciiTheme="majorHAnsi" w:hAnsiTheme="majorHAnsi" w:cstheme="majorHAnsi"/>
                <w:noProof/>
                <w:webHidden/>
              </w:rPr>
              <w:instrText xml:space="preserve"> PAGEREF _Toc142556241 \h </w:instrText>
            </w:r>
            <w:r w:rsidR="00687949" w:rsidRPr="00687949">
              <w:rPr>
                <w:rStyle w:val="Hyperlink"/>
                <w:rFonts w:asciiTheme="majorHAnsi" w:hAnsiTheme="majorHAnsi" w:cstheme="majorHAnsi"/>
                <w:noProof/>
                <w:webHidden/>
              </w:rPr>
            </w:r>
            <w:r w:rsidR="00687949" w:rsidRPr="00687949">
              <w:rPr>
                <w:rStyle w:val="Hyperlink"/>
                <w:rFonts w:asciiTheme="majorHAnsi" w:hAnsiTheme="majorHAnsi" w:cstheme="majorHAnsi"/>
                <w:noProof/>
                <w:webHidden/>
              </w:rPr>
              <w:fldChar w:fldCharType="separate"/>
            </w:r>
            <w:r>
              <w:rPr>
                <w:rStyle w:val="Hyperlink"/>
                <w:rFonts w:asciiTheme="majorHAnsi" w:hAnsiTheme="majorHAnsi" w:cstheme="majorHAnsi"/>
                <w:noProof/>
                <w:webHidden/>
              </w:rPr>
              <w:t>56</w:t>
            </w:r>
            <w:r w:rsidR="00687949" w:rsidRPr="00687949">
              <w:rPr>
                <w:rStyle w:val="Hyperlink"/>
                <w:rFonts w:asciiTheme="majorHAnsi" w:hAnsiTheme="majorHAnsi" w:cstheme="majorHAnsi"/>
                <w:noProof/>
                <w:webHidden/>
              </w:rPr>
              <w:fldChar w:fldCharType="end"/>
            </w:r>
          </w:hyperlink>
        </w:p>
        <w:p w14:paraId="26550F9F" w14:textId="54870C93" w:rsidR="00687949" w:rsidRPr="00687949" w:rsidRDefault="001E704A">
          <w:pPr>
            <w:pStyle w:val="Sumrio3"/>
            <w:tabs>
              <w:tab w:val="left" w:pos="1200"/>
              <w:tab w:val="right" w:leader="dot" w:pos="9060"/>
            </w:tabs>
            <w:rPr>
              <w:rStyle w:val="Hyperlink"/>
              <w:rFonts w:asciiTheme="majorHAnsi" w:hAnsiTheme="majorHAnsi" w:cstheme="majorHAnsi"/>
              <w:noProof/>
            </w:rPr>
          </w:pPr>
          <w:hyperlink w:anchor="_Toc142556242" w:history="1">
            <w:r w:rsidR="00687949" w:rsidRPr="00687949">
              <w:rPr>
                <w:rStyle w:val="Hyperlink"/>
                <w:rFonts w:asciiTheme="majorHAnsi" w:hAnsiTheme="majorHAnsi" w:cstheme="majorHAnsi"/>
                <w:noProof/>
              </w:rPr>
              <w:t>21.6.</w:t>
            </w:r>
            <w:r w:rsidR="00687949" w:rsidRPr="00687949">
              <w:rPr>
                <w:rStyle w:val="Hyperlink"/>
                <w:rFonts w:asciiTheme="majorHAnsi" w:hAnsiTheme="majorHAnsi" w:cstheme="majorHAnsi"/>
                <w:noProof/>
              </w:rPr>
              <w:tab/>
              <w:t>Da Sustentabilidade como Política Transversal</w:t>
            </w:r>
            <w:r w:rsidR="00687949" w:rsidRPr="00687949">
              <w:rPr>
                <w:rStyle w:val="Hyperlink"/>
                <w:rFonts w:asciiTheme="majorHAnsi" w:hAnsiTheme="majorHAnsi" w:cstheme="majorHAnsi"/>
                <w:noProof/>
                <w:webHidden/>
              </w:rPr>
              <w:tab/>
            </w:r>
            <w:r w:rsidR="00687949" w:rsidRPr="00687949">
              <w:rPr>
                <w:rStyle w:val="Hyperlink"/>
                <w:rFonts w:asciiTheme="majorHAnsi" w:hAnsiTheme="majorHAnsi" w:cstheme="majorHAnsi"/>
                <w:noProof/>
                <w:webHidden/>
              </w:rPr>
              <w:fldChar w:fldCharType="begin"/>
            </w:r>
            <w:r w:rsidR="00687949" w:rsidRPr="00687949">
              <w:rPr>
                <w:rStyle w:val="Hyperlink"/>
                <w:rFonts w:asciiTheme="majorHAnsi" w:hAnsiTheme="majorHAnsi" w:cstheme="majorHAnsi"/>
                <w:noProof/>
                <w:webHidden/>
              </w:rPr>
              <w:instrText xml:space="preserve"> PAGEREF _Toc142556242 \h </w:instrText>
            </w:r>
            <w:r w:rsidR="00687949" w:rsidRPr="00687949">
              <w:rPr>
                <w:rStyle w:val="Hyperlink"/>
                <w:rFonts w:asciiTheme="majorHAnsi" w:hAnsiTheme="majorHAnsi" w:cstheme="majorHAnsi"/>
                <w:noProof/>
                <w:webHidden/>
              </w:rPr>
            </w:r>
            <w:r w:rsidR="00687949" w:rsidRPr="00687949">
              <w:rPr>
                <w:rStyle w:val="Hyperlink"/>
                <w:rFonts w:asciiTheme="majorHAnsi" w:hAnsiTheme="majorHAnsi" w:cstheme="majorHAnsi"/>
                <w:noProof/>
                <w:webHidden/>
              </w:rPr>
              <w:fldChar w:fldCharType="separate"/>
            </w:r>
            <w:r>
              <w:rPr>
                <w:rStyle w:val="Hyperlink"/>
                <w:rFonts w:asciiTheme="majorHAnsi" w:hAnsiTheme="majorHAnsi" w:cstheme="majorHAnsi"/>
                <w:noProof/>
                <w:webHidden/>
              </w:rPr>
              <w:t>56</w:t>
            </w:r>
            <w:r w:rsidR="00687949" w:rsidRPr="00687949">
              <w:rPr>
                <w:rStyle w:val="Hyperlink"/>
                <w:rFonts w:asciiTheme="majorHAnsi" w:hAnsiTheme="majorHAnsi" w:cstheme="majorHAnsi"/>
                <w:noProof/>
                <w:webHidden/>
              </w:rPr>
              <w:fldChar w:fldCharType="end"/>
            </w:r>
          </w:hyperlink>
        </w:p>
        <w:p w14:paraId="28450062" w14:textId="2C622A4C" w:rsidR="00687949" w:rsidRPr="00687949" w:rsidRDefault="001E704A">
          <w:pPr>
            <w:pStyle w:val="Sumrio3"/>
            <w:tabs>
              <w:tab w:val="left" w:pos="1200"/>
              <w:tab w:val="right" w:leader="dot" w:pos="9060"/>
            </w:tabs>
            <w:rPr>
              <w:rStyle w:val="Hyperlink"/>
              <w:rFonts w:asciiTheme="majorHAnsi" w:hAnsiTheme="majorHAnsi" w:cstheme="majorHAnsi"/>
              <w:noProof/>
            </w:rPr>
          </w:pPr>
          <w:hyperlink w:anchor="_Toc142556243" w:history="1">
            <w:r w:rsidR="00687949" w:rsidRPr="00687949">
              <w:rPr>
                <w:rStyle w:val="Hyperlink"/>
                <w:rFonts w:asciiTheme="majorHAnsi" w:hAnsiTheme="majorHAnsi" w:cstheme="majorHAnsi"/>
                <w:noProof/>
              </w:rPr>
              <w:t>21.7.</w:t>
            </w:r>
            <w:r w:rsidR="00687949" w:rsidRPr="00687949">
              <w:rPr>
                <w:rStyle w:val="Hyperlink"/>
                <w:rFonts w:asciiTheme="majorHAnsi" w:hAnsiTheme="majorHAnsi" w:cstheme="majorHAnsi"/>
                <w:noProof/>
              </w:rPr>
              <w:tab/>
              <w:t>Da Política Nacional de Resíduos Sólidos</w:t>
            </w:r>
            <w:r w:rsidR="00687949" w:rsidRPr="00687949">
              <w:rPr>
                <w:rStyle w:val="Hyperlink"/>
                <w:rFonts w:asciiTheme="majorHAnsi" w:hAnsiTheme="majorHAnsi" w:cstheme="majorHAnsi"/>
                <w:noProof/>
                <w:webHidden/>
              </w:rPr>
              <w:tab/>
            </w:r>
            <w:r w:rsidR="00687949" w:rsidRPr="00687949">
              <w:rPr>
                <w:rStyle w:val="Hyperlink"/>
                <w:rFonts w:asciiTheme="majorHAnsi" w:hAnsiTheme="majorHAnsi" w:cstheme="majorHAnsi"/>
                <w:noProof/>
                <w:webHidden/>
              </w:rPr>
              <w:fldChar w:fldCharType="begin"/>
            </w:r>
            <w:r w:rsidR="00687949" w:rsidRPr="00687949">
              <w:rPr>
                <w:rStyle w:val="Hyperlink"/>
                <w:rFonts w:asciiTheme="majorHAnsi" w:hAnsiTheme="majorHAnsi" w:cstheme="majorHAnsi"/>
                <w:noProof/>
                <w:webHidden/>
              </w:rPr>
              <w:instrText xml:space="preserve"> PAGEREF _Toc142556243 \h </w:instrText>
            </w:r>
            <w:r w:rsidR="00687949" w:rsidRPr="00687949">
              <w:rPr>
                <w:rStyle w:val="Hyperlink"/>
                <w:rFonts w:asciiTheme="majorHAnsi" w:hAnsiTheme="majorHAnsi" w:cstheme="majorHAnsi"/>
                <w:noProof/>
                <w:webHidden/>
              </w:rPr>
            </w:r>
            <w:r w:rsidR="00687949" w:rsidRPr="00687949">
              <w:rPr>
                <w:rStyle w:val="Hyperlink"/>
                <w:rFonts w:asciiTheme="majorHAnsi" w:hAnsiTheme="majorHAnsi" w:cstheme="majorHAnsi"/>
                <w:noProof/>
                <w:webHidden/>
              </w:rPr>
              <w:fldChar w:fldCharType="separate"/>
            </w:r>
            <w:r>
              <w:rPr>
                <w:rStyle w:val="Hyperlink"/>
                <w:rFonts w:asciiTheme="majorHAnsi" w:hAnsiTheme="majorHAnsi" w:cstheme="majorHAnsi"/>
                <w:noProof/>
                <w:webHidden/>
              </w:rPr>
              <w:t>56</w:t>
            </w:r>
            <w:r w:rsidR="00687949" w:rsidRPr="00687949">
              <w:rPr>
                <w:rStyle w:val="Hyperlink"/>
                <w:rFonts w:asciiTheme="majorHAnsi" w:hAnsiTheme="majorHAnsi" w:cstheme="majorHAnsi"/>
                <w:noProof/>
                <w:webHidden/>
              </w:rPr>
              <w:fldChar w:fldCharType="end"/>
            </w:r>
          </w:hyperlink>
        </w:p>
        <w:p w14:paraId="7A2C7D39" w14:textId="320407FD" w:rsidR="00687949" w:rsidRPr="00687949" w:rsidRDefault="001E704A">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44" w:history="1">
            <w:r w:rsidR="00687949" w:rsidRPr="00687949">
              <w:rPr>
                <w:rStyle w:val="Hyperlink"/>
                <w:rFonts w:asciiTheme="majorHAnsi" w:hAnsiTheme="majorHAnsi" w:cstheme="majorHAnsi"/>
                <w:noProof/>
              </w:rPr>
              <w:t>21.8.</w:t>
            </w:r>
            <w:r w:rsidR="00687949" w:rsidRPr="00687949">
              <w:rPr>
                <w:rStyle w:val="Hyperlink"/>
                <w:rFonts w:asciiTheme="majorHAnsi" w:hAnsiTheme="majorHAnsi" w:cstheme="majorHAnsi"/>
                <w:noProof/>
              </w:rPr>
              <w:tab/>
              <w:t>Da Acessibilidade</w:t>
            </w:r>
            <w:r w:rsidR="00687949" w:rsidRPr="00687949">
              <w:rPr>
                <w:rStyle w:val="Hyperlink"/>
                <w:rFonts w:asciiTheme="majorHAnsi" w:hAnsiTheme="majorHAnsi" w:cstheme="majorHAnsi"/>
                <w:noProof/>
                <w:webHidden/>
              </w:rPr>
              <w:tab/>
            </w:r>
            <w:r w:rsidR="00687949" w:rsidRPr="00687949">
              <w:rPr>
                <w:rStyle w:val="Hyperlink"/>
                <w:rFonts w:asciiTheme="majorHAnsi" w:hAnsiTheme="majorHAnsi" w:cstheme="majorHAnsi"/>
                <w:noProof/>
                <w:webHidden/>
              </w:rPr>
              <w:fldChar w:fldCharType="begin"/>
            </w:r>
            <w:r w:rsidR="00687949" w:rsidRPr="00687949">
              <w:rPr>
                <w:rStyle w:val="Hyperlink"/>
                <w:rFonts w:asciiTheme="majorHAnsi" w:hAnsiTheme="majorHAnsi" w:cstheme="majorHAnsi"/>
                <w:noProof/>
                <w:webHidden/>
              </w:rPr>
              <w:instrText xml:space="preserve"> PAGEREF _Toc142556244 \h </w:instrText>
            </w:r>
            <w:r w:rsidR="00687949" w:rsidRPr="00687949">
              <w:rPr>
                <w:rStyle w:val="Hyperlink"/>
                <w:rFonts w:asciiTheme="majorHAnsi" w:hAnsiTheme="majorHAnsi" w:cstheme="majorHAnsi"/>
                <w:noProof/>
                <w:webHidden/>
              </w:rPr>
            </w:r>
            <w:r w:rsidR="00687949" w:rsidRPr="00687949">
              <w:rPr>
                <w:rStyle w:val="Hyperlink"/>
                <w:rFonts w:asciiTheme="majorHAnsi" w:hAnsiTheme="majorHAnsi" w:cstheme="majorHAnsi"/>
                <w:noProof/>
                <w:webHidden/>
              </w:rPr>
              <w:fldChar w:fldCharType="separate"/>
            </w:r>
            <w:r>
              <w:rPr>
                <w:rStyle w:val="Hyperlink"/>
                <w:rFonts w:asciiTheme="majorHAnsi" w:hAnsiTheme="majorHAnsi" w:cstheme="majorHAnsi"/>
                <w:noProof/>
                <w:webHidden/>
              </w:rPr>
              <w:t>56</w:t>
            </w:r>
            <w:r w:rsidR="00687949" w:rsidRPr="00687949">
              <w:rPr>
                <w:rStyle w:val="Hyperlink"/>
                <w:rFonts w:asciiTheme="majorHAnsi" w:hAnsiTheme="majorHAnsi" w:cstheme="majorHAnsi"/>
                <w:noProof/>
                <w:webHidden/>
              </w:rPr>
              <w:fldChar w:fldCharType="end"/>
            </w:r>
          </w:hyperlink>
        </w:p>
        <w:p w14:paraId="0A72C622" w14:textId="17CCFACE" w:rsidR="003632D8" w:rsidRPr="00687949" w:rsidRDefault="003632D8" w:rsidP="002E10C4">
          <w:pPr>
            <w:spacing w:after="120"/>
            <w:rPr>
              <w:rFonts w:asciiTheme="majorHAnsi" w:hAnsiTheme="majorHAnsi" w:cstheme="majorHAnsi"/>
            </w:rPr>
          </w:pPr>
          <w:r w:rsidRPr="00687949">
            <w:rPr>
              <w:rFonts w:asciiTheme="majorHAnsi" w:hAnsiTheme="majorHAnsi" w:cstheme="majorHAnsi"/>
              <w:b/>
              <w:bCs/>
            </w:rPr>
            <w:lastRenderedPageBreak/>
            <w:fldChar w:fldCharType="end"/>
          </w:r>
        </w:p>
      </w:sdtContent>
    </w:sdt>
    <w:p w14:paraId="75D37B01" w14:textId="41C990F5" w:rsidR="00A76786" w:rsidRDefault="00A76786" w:rsidP="007E2856">
      <w:pPr>
        <w:pStyle w:val="Normal-TJTR"/>
        <w:spacing w:after="360"/>
        <w:rPr>
          <w:rFonts w:asciiTheme="majorHAnsi" w:hAnsiTheme="majorHAnsi" w:cstheme="majorHAnsi"/>
          <w:sz w:val="24"/>
          <w:szCs w:val="24"/>
        </w:rPr>
      </w:pPr>
    </w:p>
    <w:p w14:paraId="4A7CDBD5" w14:textId="77777777" w:rsidR="00886ABE" w:rsidRDefault="00886ABE" w:rsidP="00886ABE">
      <w:pPr>
        <w:pStyle w:val="ApTexto"/>
        <w:shd w:val="clear" w:color="auto" w:fill="D9D9D9" w:themeFill="background1" w:themeFillShade="D9"/>
        <w:ind w:left="-1418" w:right="-1418" w:firstLine="0"/>
        <w:jc w:val="center"/>
      </w:pPr>
    </w:p>
    <w:p w14:paraId="330A5126" w14:textId="1AAD56EE" w:rsidR="00886ABE" w:rsidRDefault="00886ABE" w:rsidP="00886ABE">
      <w:pPr>
        <w:pStyle w:val="TJTR-Ttulo"/>
        <w:spacing w:before="0" w:after="0"/>
        <w:ind w:left="-1418" w:right="-1418"/>
      </w:pPr>
      <w:bookmarkStart w:id="2" w:name="_Toc142556181"/>
      <w:r>
        <w:t xml:space="preserve">DECLARAÇÕES </w:t>
      </w:r>
      <w:r w:rsidRPr="00046E6C">
        <w:t>E JUSTIFICATIVAS TÉCNICAS</w:t>
      </w:r>
      <w:bookmarkEnd w:id="2"/>
    </w:p>
    <w:p w14:paraId="2DD7DF52" w14:textId="77777777" w:rsidR="00886ABE" w:rsidRPr="001A5069" w:rsidRDefault="00886ABE" w:rsidP="00886ABE">
      <w:pPr>
        <w:pStyle w:val="ApTexto"/>
        <w:shd w:val="clear" w:color="auto" w:fill="D9D9D9" w:themeFill="background1" w:themeFillShade="D9"/>
        <w:ind w:left="-1418" w:right="-1418" w:firstLine="0"/>
        <w:jc w:val="center"/>
      </w:pPr>
    </w:p>
    <w:p w14:paraId="515DA222" w14:textId="77777777" w:rsidR="00886ABE" w:rsidRPr="00404AD5" w:rsidRDefault="00886ABE" w:rsidP="007E2856">
      <w:pPr>
        <w:pStyle w:val="Normal-TJTR"/>
        <w:spacing w:after="360"/>
        <w:rPr>
          <w:rFonts w:asciiTheme="majorHAnsi" w:hAnsiTheme="majorHAnsi" w:cstheme="majorHAnsi"/>
          <w:sz w:val="24"/>
          <w:szCs w:val="24"/>
          <w:u w:val="single"/>
        </w:rPr>
      </w:pPr>
    </w:p>
    <w:p w14:paraId="1C76A7D8" w14:textId="3D167463" w:rsidR="00222F8F"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3" w:name="_Toc142556182"/>
      <w:bookmarkStart w:id="4" w:name="nt_1_retorno"/>
      <w:r w:rsidRPr="00C000A1">
        <w:rPr>
          <w:rFonts w:cstheme="majorHAnsi"/>
          <w:caps w:val="0"/>
          <w:szCs w:val="24"/>
        </w:rPr>
        <w:t>ENQUADRAMENTO DO OBJETO</w:t>
      </w:r>
      <w:bookmarkEnd w:id="3"/>
      <w:bookmarkEnd w:id="4"/>
    </w:p>
    <w:p w14:paraId="036A0457" w14:textId="676115BD" w:rsidR="001D24D7" w:rsidRPr="00C000A1" w:rsidRDefault="00AF3A98" w:rsidP="00C000A1">
      <w:pPr>
        <w:pStyle w:val="TJTRSubTT-Nv2"/>
        <w:spacing w:before="0" w:after="360"/>
        <w:rPr>
          <w:szCs w:val="24"/>
        </w:rPr>
      </w:pPr>
      <w:bookmarkStart w:id="5" w:name="_Toc142556183"/>
      <w:r w:rsidRPr="00C000A1">
        <w:rPr>
          <w:szCs w:val="24"/>
        </w:rPr>
        <w:t xml:space="preserve">1.1. </w:t>
      </w:r>
      <w:r w:rsidR="007068C6" w:rsidRPr="00C000A1">
        <w:rPr>
          <w:szCs w:val="24"/>
        </w:rPr>
        <w:t>Classificação como obra ou serviço de engenharia</w:t>
      </w:r>
      <w:bookmarkEnd w:id="5"/>
    </w:p>
    <w:p w14:paraId="6B498BC9" w14:textId="002C0A85" w:rsidR="008C1588" w:rsidRDefault="00B55919" w:rsidP="008C1588">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 xml:space="preserve">O objeto da presente licitação </w:t>
      </w:r>
      <w:r w:rsidR="00122ECF" w:rsidRPr="00C000A1">
        <w:rPr>
          <w:rFonts w:asciiTheme="majorHAnsi" w:hAnsiTheme="majorHAnsi" w:cstheme="majorHAnsi"/>
          <w:sz w:val="24"/>
          <w:szCs w:val="24"/>
        </w:rPr>
        <w:t>constitui</w:t>
      </w:r>
      <w:r w:rsidRPr="00C000A1">
        <w:rPr>
          <w:rFonts w:asciiTheme="majorHAnsi" w:hAnsiTheme="majorHAnsi" w:cstheme="majorHAnsi"/>
          <w:sz w:val="24"/>
          <w:szCs w:val="24"/>
        </w:rPr>
        <w:t xml:space="preserve"> (</w:t>
      </w:r>
      <w:r w:rsidR="00E15A42">
        <w:rPr>
          <w:rFonts w:asciiTheme="majorHAnsi" w:hAnsiTheme="majorHAnsi" w:cstheme="majorHAnsi"/>
          <w:sz w:val="24"/>
          <w:szCs w:val="24"/>
        </w:rPr>
        <w:t xml:space="preserve"> </w:t>
      </w:r>
      <w:r w:rsidR="00241966">
        <w:rPr>
          <w:rFonts w:asciiTheme="majorHAnsi" w:hAnsiTheme="majorHAnsi" w:cstheme="majorHAnsi"/>
          <w:b/>
          <w:bCs/>
          <w:sz w:val="24"/>
          <w:szCs w:val="24"/>
          <w:u w:val="single"/>
        </w:rPr>
        <w:t>X</w:t>
      </w:r>
      <w:r w:rsidR="00E15A42">
        <w:rPr>
          <w:rFonts w:asciiTheme="majorHAnsi" w:hAnsiTheme="majorHAnsi" w:cstheme="majorHAnsi"/>
          <w:sz w:val="24"/>
          <w:szCs w:val="24"/>
        </w:rPr>
        <w:t xml:space="preserve"> </w:t>
      </w:r>
      <w:r w:rsidRPr="00C000A1">
        <w:rPr>
          <w:rFonts w:asciiTheme="majorHAnsi" w:hAnsiTheme="majorHAnsi" w:cstheme="majorHAnsi"/>
          <w:sz w:val="24"/>
          <w:szCs w:val="24"/>
        </w:rPr>
        <w:t xml:space="preserve">) </w:t>
      </w:r>
      <w:r w:rsidR="00B73EE6" w:rsidRPr="00C000A1">
        <w:rPr>
          <w:rFonts w:asciiTheme="majorHAnsi" w:hAnsiTheme="majorHAnsi" w:cstheme="majorHAnsi"/>
          <w:sz w:val="24"/>
          <w:szCs w:val="24"/>
        </w:rPr>
        <w:t>OBRA</w:t>
      </w:r>
      <w:r w:rsidRPr="00C000A1">
        <w:rPr>
          <w:rFonts w:asciiTheme="majorHAnsi" w:hAnsiTheme="majorHAnsi" w:cstheme="majorHAnsi"/>
          <w:sz w:val="24"/>
          <w:szCs w:val="24"/>
        </w:rPr>
        <w:t xml:space="preserve"> / ( </w:t>
      </w:r>
      <w:r w:rsidR="00241966">
        <w:rPr>
          <w:rFonts w:asciiTheme="majorHAnsi" w:hAnsiTheme="majorHAnsi" w:cstheme="majorHAnsi"/>
          <w:sz w:val="24"/>
          <w:szCs w:val="24"/>
        </w:rPr>
        <w:t xml:space="preserve"> </w:t>
      </w:r>
      <w:r w:rsidR="00891652">
        <w:rPr>
          <w:rFonts w:asciiTheme="majorHAnsi" w:hAnsiTheme="majorHAnsi" w:cstheme="majorHAnsi"/>
          <w:b/>
          <w:bCs/>
          <w:sz w:val="24"/>
          <w:szCs w:val="24"/>
        </w:rPr>
        <w:t xml:space="preserve"> </w:t>
      </w:r>
      <w:r w:rsidRPr="00C000A1">
        <w:rPr>
          <w:rFonts w:asciiTheme="majorHAnsi" w:hAnsiTheme="majorHAnsi" w:cstheme="majorHAnsi"/>
          <w:sz w:val="24"/>
          <w:szCs w:val="24"/>
        </w:rPr>
        <w:t xml:space="preserve">) </w:t>
      </w:r>
      <w:r w:rsidR="00B73EE6" w:rsidRPr="00C000A1">
        <w:rPr>
          <w:rFonts w:asciiTheme="majorHAnsi" w:hAnsiTheme="majorHAnsi" w:cstheme="majorHAnsi"/>
          <w:sz w:val="24"/>
          <w:szCs w:val="24"/>
        </w:rPr>
        <w:t>SERVIÇO DE ENGENHARIA</w:t>
      </w:r>
      <w:r w:rsidRPr="00C000A1">
        <w:rPr>
          <w:rFonts w:asciiTheme="majorHAnsi" w:hAnsiTheme="majorHAnsi" w:cstheme="majorHAnsi"/>
          <w:sz w:val="24"/>
          <w:szCs w:val="24"/>
        </w:rPr>
        <w:t>,</w:t>
      </w:r>
      <w:r w:rsidR="577A2A35" w:rsidRPr="00C000A1">
        <w:rPr>
          <w:rFonts w:asciiTheme="majorHAnsi" w:hAnsiTheme="majorHAnsi" w:cstheme="majorHAnsi"/>
          <w:sz w:val="24"/>
          <w:szCs w:val="24"/>
        </w:rPr>
        <w:t xml:space="preserve"> </w:t>
      </w:r>
      <w:r w:rsidR="00181B9D" w:rsidRPr="00C000A1">
        <w:rPr>
          <w:rFonts w:asciiTheme="majorHAnsi" w:hAnsiTheme="majorHAnsi" w:cstheme="majorHAnsi"/>
          <w:sz w:val="24"/>
          <w:szCs w:val="24"/>
        </w:rPr>
        <w:t xml:space="preserve">sob a seguinte </w:t>
      </w:r>
      <w:r w:rsidR="00181B9D" w:rsidRPr="00C000A1">
        <w:rPr>
          <w:rFonts w:asciiTheme="majorHAnsi" w:hAnsiTheme="majorHAnsi" w:cstheme="majorHAnsi"/>
          <w:b/>
          <w:bCs/>
          <w:sz w:val="24"/>
          <w:szCs w:val="24"/>
        </w:rPr>
        <w:t>justificativa</w:t>
      </w:r>
      <w:r w:rsidR="00181B9D" w:rsidRPr="00C000A1">
        <w:rPr>
          <w:rFonts w:asciiTheme="majorHAnsi" w:hAnsiTheme="majorHAnsi" w:cstheme="majorHAnsi"/>
          <w:sz w:val="24"/>
          <w:szCs w:val="24"/>
        </w:rPr>
        <w:t>:</w:t>
      </w:r>
    </w:p>
    <w:p w14:paraId="2F64C4B8" w14:textId="77777777" w:rsidR="00241966" w:rsidRDefault="00241966" w:rsidP="00241966">
      <w:pPr>
        <w:pStyle w:val="Normal-TJTR"/>
        <w:spacing w:after="360"/>
        <w:rPr>
          <w:rFonts w:asciiTheme="majorHAnsi" w:hAnsiTheme="majorHAnsi" w:cstheme="majorHAnsi"/>
          <w:b/>
          <w:bCs/>
          <w:sz w:val="24"/>
          <w:szCs w:val="24"/>
          <w:u w:val="single"/>
          <w:lang w:eastAsia="pt-BR"/>
        </w:rPr>
      </w:pPr>
      <w:bookmarkStart w:id="6" w:name="_Toc142556184"/>
      <w:r>
        <w:rPr>
          <w:rFonts w:asciiTheme="majorHAnsi" w:hAnsiTheme="majorHAnsi" w:cstheme="majorHAnsi"/>
          <w:b/>
          <w:bCs/>
          <w:sz w:val="24"/>
          <w:szCs w:val="24"/>
          <w:u w:val="single"/>
          <w:lang w:eastAsia="pt-BR"/>
        </w:rPr>
        <w:t xml:space="preserve">O OBJETO CONSISTE EM </w:t>
      </w:r>
      <w:r w:rsidRPr="009D4B02">
        <w:rPr>
          <w:rFonts w:asciiTheme="majorHAnsi" w:hAnsiTheme="majorHAnsi" w:cstheme="majorHAnsi"/>
          <w:b/>
          <w:bCs/>
          <w:sz w:val="24"/>
          <w:szCs w:val="24"/>
          <w:u w:val="single"/>
          <w:lang w:eastAsia="pt-BR"/>
        </w:rPr>
        <w:t xml:space="preserve">ATIVIDADE ESTABELECIDA, POR FORÇA DE LEI, COMO PRIVATIVA DAS PROFISSÕES DE ARQUITETO </w:t>
      </w:r>
      <w:r>
        <w:rPr>
          <w:rFonts w:asciiTheme="majorHAnsi" w:hAnsiTheme="majorHAnsi" w:cstheme="majorHAnsi"/>
          <w:b/>
          <w:bCs/>
          <w:sz w:val="24"/>
          <w:szCs w:val="24"/>
          <w:u w:val="single"/>
          <w:lang w:eastAsia="pt-BR"/>
        </w:rPr>
        <w:t>OU</w:t>
      </w:r>
      <w:r w:rsidRPr="009D4B02">
        <w:rPr>
          <w:rFonts w:asciiTheme="majorHAnsi" w:hAnsiTheme="majorHAnsi" w:cstheme="majorHAnsi"/>
          <w:b/>
          <w:bCs/>
          <w:sz w:val="24"/>
          <w:szCs w:val="24"/>
          <w:u w:val="single"/>
          <w:lang w:eastAsia="pt-BR"/>
        </w:rPr>
        <w:t xml:space="preserve"> ENGENHEIRO QUE IMPLICA </w:t>
      </w:r>
      <w:r>
        <w:rPr>
          <w:rFonts w:asciiTheme="majorHAnsi" w:hAnsiTheme="majorHAnsi" w:cstheme="majorHAnsi"/>
          <w:b/>
          <w:bCs/>
          <w:sz w:val="24"/>
          <w:szCs w:val="24"/>
          <w:u w:val="single"/>
          <w:lang w:eastAsia="pt-BR"/>
        </w:rPr>
        <w:t xml:space="preserve">NA </w:t>
      </w:r>
      <w:r w:rsidRPr="009D4B02">
        <w:rPr>
          <w:rFonts w:asciiTheme="majorHAnsi" w:hAnsiTheme="majorHAnsi" w:cstheme="majorHAnsi"/>
          <w:b/>
          <w:bCs/>
          <w:sz w:val="24"/>
          <w:szCs w:val="24"/>
          <w:u w:val="single"/>
          <w:lang w:eastAsia="pt-BR"/>
        </w:rPr>
        <w:t>INTERVENÇÃO NO MEIO AMBIENTE POR MEIO DE UM CONJUNTO HARMÔNICO DE AÇÕES QUE, AGREGADAS, FORMAM UM TODO QUE INOVA O ESPAÇO FÍSICO DA NATUREZA DE BEM IMÓVEL</w:t>
      </w:r>
      <w:r>
        <w:rPr>
          <w:rFonts w:asciiTheme="majorHAnsi" w:hAnsiTheme="majorHAnsi" w:cstheme="majorHAnsi"/>
          <w:b/>
          <w:bCs/>
          <w:sz w:val="24"/>
          <w:szCs w:val="24"/>
          <w:u w:val="single"/>
          <w:lang w:eastAsia="pt-BR"/>
        </w:rPr>
        <w:t>.</w:t>
      </w:r>
    </w:p>
    <w:p w14:paraId="7EB46FA4" w14:textId="09E3515B" w:rsidR="009956CF" w:rsidRPr="00C000A1" w:rsidRDefault="009763E0" w:rsidP="00C000A1">
      <w:pPr>
        <w:pStyle w:val="TJTRSubTT-Nv2"/>
        <w:spacing w:before="0" w:after="360"/>
        <w:rPr>
          <w:szCs w:val="24"/>
        </w:rPr>
      </w:pPr>
      <w:r w:rsidRPr="00C000A1">
        <w:rPr>
          <w:szCs w:val="24"/>
        </w:rPr>
        <w:t xml:space="preserve">1.2. </w:t>
      </w:r>
      <w:r w:rsidR="009956CF" w:rsidRPr="00C000A1">
        <w:rPr>
          <w:szCs w:val="24"/>
        </w:rPr>
        <w:t>Classificação como serviço comum ou especial</w:t>
      </w:r>
      <w:bookmarkEnd w:id="6"/>
    </w:p>
    <w:p w14:paraId="03B453CB" w14:textId="40CC7D98" w:rsidR="009956CF" w:rsidRPr="00C000A1" w:rsidRDefault="00F365AE"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 xml:space="preserve">O serviço de engenharia </w:t>
      </w:r>
      <w:r w:rsidR="00B73EE6" w:rsidRPr="00C000A1">
        <w:rPr>
          <w:rFonts w:asciiTheme="majorHAnsi" w:hAnsiTheme="majorHAnsi" w:cstheme="majorHAnsi"/>
          <w:sz w:val="24"/>
          <w:szCs w:val="24"/>
        </w:rPr>
        <w:t>objeto</w:t>
      </w:r>
      <w:r w:rsidRPr="00C000A1">
        <w:rPr>
          <w:rFonts w:asciiTheme="majorHAnsi" w:hAnsiTheme="majorHAnsi" w:cstheme="majorHAnsi"/>
          <w:sz w:val="24"/>
          <w:szCs w:val="24"/>
        </w:rPr>
        <w:t xml:space="preserve"> da presente licitação é (</w:t>
      </w:r>
      <w:r w:rsidR="00EE69A7">
        <w:rPr>
          <w:rFonts w:asciiTheme="majorHAnsi" w:hAnsiTheme="majorHAnsi" w:cstheme="majorHAnsi"/>
          <w:sz w:val="24"/>
          <w:szCs w:val="24"/>
        </w:rPr>
        <w:t xml:space="preserve"> </w:t>
      </w:r>
      <w:r w:rsidR="00EE69A7" w:rsidRPr="00EE69A7">
        <w:rPr>
          <w:rFonts w:asciiTheme="majorHAnsi" w:hAnsiTheme="majorHAnsi" w:cstheme="majorHAnsi"/>
          <w:b/>
          <w:bCs/>
          <w:sz w:val="24"/>
          <w:szCs w:val="24"/>
        </w:rPr>
        <w:t>X</w:t>
      </w:r>
      <w:r w:rsidR="00EE69A7">
        <w:rPr>
          <w:rFonts w:asciiTheme="majorHAnsi" w:hAnsiTheme="majorHAnsi" w:cstheme="majorHAnsi"/>
          <w:sz w:val="24"/>
          <w:szCs w:val="24"/>
        </w:rPr>
        <w:t xml:space="preserve"> </w:t>
      </w:r>
      <w:r w:rsidRPr="00C000A1">
        <w:rPr>
          <w:rFonts w:asciiTheme="majorHAnsi" w:hAnsiTheme="majorHAnsi" w:cstheme="majorHAnsi"/>
          <w:sz w:val="24"/>
          <w:szCs w:val="24"/>
        </w:rPr>
        <w:t xml:space="preserve">) COMUM </w:t>
      </w:r>
      <w:r w:rsidR="00B73EE6" w:rsidRPr="00C000A1">
        <w:rPr>
          <w:rFonts w:asciiTheme="majorHAnsi" w:hAnsiTheme="majorHAnsi" w:cstheme="majorHAnsi"/>
          <w:sz w:val="24"/>
          <w:szCs w:val="24"/>
        </w:rPr>
        <w:t>/</w:t>
      </w:r>
      <w:r w:rsidRPr="00C000A1">
        <w:rPr>
          <w:rFonts w:asciiTheme="majorHAnsi" w:hAnsiTheme="majorHAnsi" w:cstheme="majorHAnsi"/>
          <w:sz w:val="24"/>
          <w:szCs w:val="24"/>
        </w:rPr>
        <w:t xml:space="preserve"> (   ) ESPECIAL, </w:t>
      </w:r>
      <w:r w:rsidR="00340FC5" w:rsidRPr="00C000A1">
        <w:rPr>
          <w:rFonts w:asciiTheme="majorHAnsi" w:hAnsiTheme="majorHAnsi" w:cstheme="majorHAnsi"/>
          <w:sz w:val="24"/>
          <w:szCs w:val="24"/>
        </w:rPr>
        <w:t xml:space="preserve">sob a seguinte </w:t>
      </w:r>
      <w:r w:rsidR="00340FC5" w:rsidRPr="00C000A1">
        <w:rPr>
          <w:rFonts w:asciiTheme="majorHAnsi" w:hAnsiTheme="majorHAnsi" w:cstheme="majorHAnsi"/>
          <w:b/>
          <w:bCs/>
          <w:sz w:val="24"/>
          <w:szCs w:val="24"/>
        </w:rPr>
        <w:t>justificativa</w:t>
      </w:r>
      <w:r w:rsidR="00340FC5" w:rsidRPr="00C000A1">
        <w:rPr>
          <w:rFonts w:asciiTheme="majorHAnsi" w:hAnsiTheme="majorHAnsi" w:cstheme="majorHAnsi"/>
          <w:sz w:val="24"/>
          <w:szCs w:val="24"/>
        </w:rPr>
        <w:t>:</w:t>
      </w:r>
    </w:p>
    <w:p w14:paraId="34FB30EA" w14:textId="1F5850D8" w:rsidR="00A15C6E" w:rsidRDefault="00E15A42" w:rsidP="00C000A1">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bookmarkStart w:id="7" w:name="_Hlk178157142"/>
      <w:r>
        <w:rPr>
          <w:rFonts w:asciiTheme="majorHAnsi" w:hAnsiTheme="majorHAnsi" w:cstheme="majorHAnsi"/>
          <w:b/>
          <w:bCs/>
          <w:sz w:val="24"/>
          <w:szCs w:val="24"/>
          <w:u w:val="single"/>
          <w:lang w:eastAsia="pt-BR"/>
        </w:rPr>
        <w:t xml:space="preserve">O OBJETO TRATA DE </w:t>
      </w:r>
      <w:r w:rsidR="001E704A">
        <w:rPr>
          <w:rFonts w:asciiTheme="majorHAnsi" w:hAnsiTheme="majorHAnsi" w:cstheme="majorHAnsi"/>
          <w:b/>
          <w:bCs/>
          <w:sz w:val="24"/>
          <w:szCs w:val="24"/>
          <w:u w:val="single"/>
          <w:lang w:eastAsia="pt-BR"/>
        </w:rPr>
        <w:t>OBRA</w:t>
      </w:r>
      <w:r w:rsidR="00EE69A7">
        <w:rPr>
          <w:rFonts w:asciiTheme="majorHAnsi" w:hAnsiTheme="majorHAnsi" w:cstheme="majorHAnsi"/>
          <w:b/>
          <w:bCs/>
          <w:sz w:val="24"/>
          <w:szCs w:val="24"/>
          <w:u w:val="single"/>
          <w:lang w:eastAsia="pt-BR"/>
        </w:rPr>
        <w:t xml:space="preserve"> DE ENGENHARIA OBJETIVAMENTE PADRONIZAVEIS EM TERMOS DE DESEMPENHO E QUALIDADE, DE MANUTENÇÃO, ADEQUAÇÃO E ADAPTAÇÃO AO IMÓVEL</w:t>
      </w:r>
      <w:r w:rsidR="00965380">
        <w:rPr>
          <w:rFonts w:asciiTheme="majorHAnsi" w:hAnsiTheme="majorHAnsi" w:cstheme="majorHAnsi"/>
          <w:b/>
          <w:bCs/>
          <w:sz w:val="24"/>
          <w:szCs w:val="24"/>
          <w:u w:val="single"/>
          <w:lang w:eastAsia="pt-BR"/>
        </w:rPr>
        <w:t>, COM BAIXO GRAU DE COMPLEXIDADE TÉCNICA, ESPECIFICAÇÕES E MÉTODOS USUAIS NO MERCADO.</w:t>
      </w:r>
      <w:r w:rsidR="00EE69A7">
        <w:rPr>
          <w:rFonts w:asciiTheme="majorHAnsi" w:hAnsiTheme="majorHAnsi" w:cstheme="majorHAnsi"/>
          <w:b/>
          <w:bCs/>
          <w:sz w:val="24"/>
          <w:szCs w:val="24"/>
          <w:u w:val="single"/>
          <w:lang w:eastAsia="pt-BR"/>
        </w:rPr>
        <w:t xml:space="preserve"> </w:t>
      </w:r>
    </w:p>
    <w:bookmarkEnd w:id="7"/>
    <w:p w14:paraId="0C97F9BB" w14:textId="381FDD47" w:rsidR="001733DA" w:rsidRPr="000240B0" w:rsidRDefault="001E704A" w:rsidP="00C000A1">
      <w:pPr>
        <w:pStyle w:val="TextoAGU"/>
        <w:numPr>
          <w:ilvl w:val="0"/>
          <w:numId w:val="0"/>
        </w:numPr>
        <w:tabs>
          <w:tab w:val="clear" w:pos="1418"/>
        </w:tabs>
        <w:spacing w:before="0" w:after="360"/>
        <w:rPr>
          <w:rFonts w:asciiTheme="majorHAnsi" w:hAnsiTheme="majorHAnsi" w:cstheme="majorHAnsi"/>
          <w:color w:val="000080"/>
          <w:sz w:val="24"/>
          <w:szCs w:val="24"/>
          <w:u w:val="single"/>
        </w:rPr>
      </w:pPr>
      <w:r>
        <w:fldChar w:fldCharType="begin"/>
      </w:r>
      <w:r>
        <w:instrText>HYPERLINK \l "nt_1"</w:instrText>
      </w:r>
      <w:r>
        <w:fldChar w:fldCharType="separate"/>
      </w:r>
      <w:r w:rsidR="000240B0">
        <w:rPr>
          <w:rStyle w:val="Hyperlink"/>
          <w:rFonts w:asciiTheme="majorHAnsi" w:hAnsiTheme="majorHAnsi" w:cstheme="majorHAnsi"/>
          <w:sz w:val="24"/>
          <w:szCs w:val="24"/>
        </w:rPr>
        <w:t>Vide N</w:t>
      </w:r>
      <w:r w:rsidR="001733DA" w:rsidRPr="00804DDD">
        <w:rPr>
          <w:rStyle w:val="Hyperlink"/>
          <w:rFonts w:asciiTheme="majorHAnsi" w:hAnsiTheme="majorHAnsi" w:cstheme="majorHAnsi"/>
          <w:sz w:val="24"/>
          <w:szCs w:val="24"/>
        </w:rPr>
        <w:t>ota Explicativa n. 1</w:t>
      </w:r>
      <w:r>
        <w:rPr>
          <w:rStyle w:val="Hyperlink"/>
          <w:rFonts w:asciiTheme="majorHAnsi" w:hAnsiTheme="majorHAnsi" w:cstheme="majorHAnsi"/>
          <w:sz w:val="24"/>
          <w:szCs w:val="24"/>
        </w:rPr>
        <w:fldChar w:fldCharType="end"/>
      </w:r>
      <w:r w:rsidR="001733DA">
        <w:rPr>
          <w:rFonts w:asciiTheme="majorHAnsi" w:hAnsiTheme="majorHAnsi" w:cstheme="majorHAnsi"/>
          <w:color w:val="0000FF"/>
          <w:sz w:val="24"/>
          <w:szCs w:val="24"/>
        </w:rPr>
        <w:t>.</w:t>
      </w:r>
    </w:p>
    <w:p w14:paraId="2654B722" w14:textId="77777777" w:rsidR="008C1588" w:rsidRPr="00C000A1" w:rsidRDefault="008C1588"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22F874D6" w14:textId="185F1C6C" w:rsidR="00270ABB"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8" w:name="_Toc142556185"/>
      <w:bookmarkStart w:id="9" w:name="nt_2_retorno"/>
      <w:r w:rsidRPr="00C000A1">
        <w:rPr>
          <w:rFonts w:cstheme="majorHAnsi"/>
          <w:caps w:val="0"/>
          <w:szCs w:val="24"/>
        </w:rPr>
        <w:t>REGIMES DE EXECUÇÃO</w:t>
      </w:r>
      <w:bookmarkEnd w:id="8"/>
    </w:p>
    <w:bookmarkEnd w:id="9"/>
    <w:p w14:paraId="06279657" w14:textId="727E3EE5" w:rsidR="00D2215B" w:rsidRPr="00C000A1" w:rsidRDefault="002B650F"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Para a execução indireta do objeto, s</w:t>
      </w:r>
      <w:r w:rsidR="00D2215B" w:rsidRPr="00C000A1">
        <w:rPr>
          <w:rFonts w:asciiTheme="majorHAnsi" w:hAnsiTheme="majorHAnsi" w:cstheme="majorHAnsi"/>
          <w:sz w:val="24"/>
          <w:szCs w:val="24"/>
        </w:rPr>
        <w:t xml:space="preserve">erá adotado o </w:t>
      </w:r>
      <w:r w:rsidRPr="00C000A1">
        <w:rPr>
          <w:rFonts w:asciiTheme="majorHAnsi" w:hAnsiTheme="majorHAnsi" w:cstheme="majorHAnsi"/>
          <w:sz w:val="24"/>
          <w:szCs w:val="24"/>
        </w:rPr>
        <w:t xml:space="preserve">seguinte regime, de acordo com a </w:t>
      </w:r>
      <w:r w:rsidRPr="00C000A1">
        <w:rPr>
          <w:rFonts w:asciiTheme="majorHAnsi" w:hAnsiTheme="majorHAnsi" w:cstheme="majorHAnsi"/>
          <w:b/>
          <w:sz w:val="24"/>
          <w:szCs w:val="24"/>
        </w:rPr>
        <w:t>justificativa</w:t>
      </w:r>
      <w:r w:rsidRPr="00C000A1">
        <w:rPr>
          <w:rFonts w:asciiTheme="majorHAnsi" w:hAnsiTheme="majorHAnsi" w:cstheme="majorHAnsi"/>
          <w:sz w:val="24"/>
          <w:szCs w:val="24"/>
        </w:rPr>
        <w:t xml:space="preserve"> abaixo</w:t>
      </w:r>
      <w:r w:rsidR="00D2215B" w:rsidRPr="00C000A1">
        <w:rPr>
          <w:rFonts w:asciiTheme="majorHAnsi" w:hAnsiTheme="majorHAnsi" w:cstheme="majorHAnsi"/>
          <w:sz w:val="24"/>
          <w:szCs w:val="24"/>
        </w:rPr>
        <w:t>:</w:t>
      </w:r>
    </w:p>
    <w:p w14:paraId="1F6B6365" w14:textId="10DF0834" w:rsidR="00D2215B" w:rsidRPr="00C000A1" w:rsidRDefault="00D2215B" w:rsidP="00C000A1">
      <w:pPr>
        <w:pStyle w:val="Normal-TJTR"/>
        <w:spacing w:after="360"/>
        <w:rPr>
          <w:rFonts w:asciiTheme="majorHAnsi" w:hAnsiTheme="majorHAnsi" w:cstheme="majorHAnsi"/>
          <w:sz w:val="24"/>
          <w:szCs w:val="24"/>
        </w:rPr>
      </w:pPr>
      <w:proofErr w:type="gramStart"/>
      <w:r w:rsidRPr="00C000A1">
        <w:rPr>
          <w:rFonts w:asciiTheme="majorHAnsi" w:hAnsiTheme="majorHAnsi" w:cstheme="majorHAnsi"/>
          <w:sz w:val="24"/>
          <w:szCs w:val="24"/>
        </w:rPr>
        <w:t xml:space="preserve">(  </w:t>
      </w:r>
      <w:proofErr w:type="gramEnd"/>
      <w:r w:rsidRPr="00C000A1">
        <w:rPr>
          <w:rFonts w:asciiTheme="majorHAnsi" w:hAnsiTheme="majorHAnsi" w:cstheme="majorHAnsi"/>
          <w:sz w:val="24"/>
          <w:szCs w:val="24"/>
        </w:rPr>
        <w:t xml:space="preserve"> ) empreitada por preço unitário</w:t>
      </w:r>
    </w:p>
    <w:p w14:paraId="2E937744" w14:textId="73F46D0F" w:rsidR="00D2215B" w:rsidRPr="00C000A1" w:rsidRDefault="00D2215B" w:rsidP="00C000A1">
      <w:pPr>
        <w:pStyle w:val="Normal-TJTR"/>
        <w:spacing w:after="360"/>
        <w:rPr>
          <w:rFonts w:asciiTheme="majorHAnsi" w:hAnsiTheme="majorHAnsi" w:cstheme="majorHAnsi"/>
          <w:sz w:val="24"/>
          <w:szCs w:val="24"/>
        </w:rPr>
      </w:pPr>
      <w:proofErr w:type="gramStart"/>
      <w:r w:rsidRPr="00C000A1">
        <w:rPr>
          <w:rFonts w:asciiTheme="majorHAnsi" w:hAnsiTheme="majorHAnsi" w:cstheme="majorHAnsi"/>
          <w:sz w:val="24"/>
          <w:szCs w:val="24"/>
        </w:rPr>
        <w:lastRenderedPageBreak/>
        <w:t>(</w:t>
      </w:r>
      <w:r w:rsidR="00E15A42">
        <w:rPr>
          <w:rFonts w:asciiTheme="majorHAnsi" w:hAnsiTheme="majorHAnsi" w:cstheme="majorHAnsi"/>
          <w:sz w:val="24"/>
          <w:szCs w:val="24"/>
        </w:rPr>
        <w:t xml:space="preserve"> </w:t>
      </w:r>
      <w:r w:rsidR="00140063">
        <w:rPr>
          <w:rFonts w:asciiTheme="majorHAnsi" w:hAnsiTheme="majorHAnsi" w:cstheme="majorHAnsi"/>
          <w:sz w:val="24"/>
          <w:szCs w:val="24"/>
        </w:rPr>
        <w:t xml:space="preserve"> </w:t>
      </w:r>
      <w:proofErr w:type="gramEnd"/>
      <w:r w:rsidR="00E15A42">
        <w:rPr>
          <w:rFonts w:asciiTheme="majorHAnsi" w:hAnsiTheme="majorHAnsi" w:cstheme="majorHAnsi"/>
          <w:sz w:val="24"/>
          <w:szCs w:val="24"/>
        </w:rPr>
        <w:t xml:space="preserve"> </w:t>
      </w:r>
      <w:r w:rsidRPr="00C000A1">
        <w:rPr>
          <w:rFonts w:asciiTheme="majorHAnsi" w:hAnsiTheme="majorHAnsi" w:cstheme="majorHAnsi"/>
          <w:sz w:val="24"/>
          <w:szCs w:val="24"/>
        </w:rPr>
        <w:t>) empreitada por preço global</w:t>
      </w:r>
    </w:p>
    <w:p w14:paraId="16F8FEAC" w14:textId="26EC4F05" w:rsidR="00D2215B" w:rsidRPr="00C000A1" w:rsidRDefault="00D2215B" w:rsidP="00C000A1">
      <w:pPr>
        <w:pStyle w:val="Normal-TJTR"/>
        <w:spacing w:after="360"/>
        <w:rPr>
          <w:rFonts w:asciiTheme="majorHAnsi" w:hAnsiTheme="majorHAnsi" w:cstheme="majorHAnsi"/>
          <w:sz w:val="24"/>
          <w:szCs w:val="24"/>
        </w:rPr>
      </w:pPr>
      <w:proofErr w:type="gramStart"/>
      <w:r w:rsidRPr="00C000A1">
        <w:rPr>
          <w:rFonts w:asciiTheme="majorHAnsi" w:hAnsiTheme="majorHAnsi" w:cstheme="majorHAnsi"/>
          <w:sz w:val="24"/>
          <w:szCs w:val="24"/>
        </w:rPr>
        <w:t xml:space="preserve">(  </w:t>
      </w:r>
      <w:proofErr w:type="gramEnd"/>
      <w:r w:rsidRPr="00C000A1">
        <w:rPr>
          <w:rFonts w:asciiTheme="majorHAnsi" w:hAnsiTheme="majorHAnsi" w:cstheme="majorHAnsi"/>
          <w:sz w:val="24"/>
          <w:szCs w:val="24"/>
        </w:rPr>
        <w:t xml:space="preserve"> ) empreitada integral</w:t>
      </w:r>
    </w:p>
    <w:p w14:paraId="0E69038F" w14:textId="02CC122E" w:rsidR="00D2215B" w:rsidRPr="00C000A1" w:rsidRDefault="00D2215B" w:rsidP="00C000A1">
      <w:pPr>
        <w:pStyle w:val="Normal-TJTR"/>
        <w:spacing w:after="360"/>
        <w:rPr>
          <w:rFonts w:asciiTheme="majorHAnsi" w:hAnsiTheme="majorHAnsi" w:cstheme="majorHAnsi"/>
          <w:sz w:val="24"/>
          <w:szCs w:val="24"/>
        </w:rPr>
      </w:pPr>
      <w:proofErr w:type="gramStart"/>
      <w:r w:rsidRPr="00C000A1">
        <w:rPr>
          <w:rFonts w:asciiTheme="majorHAnsi" w:hAnsiTheme="majorHAnsi" w:cstheme="majorHAnsi"/>
          <w:sz w:val="24"/>
          <w:szCs w:val="24"/>
        </w:rPr>
        <w:t xml:space="preserve">(  </w:t>
      </w:r>
      <w:proofErr w:type="gramEnd"/>
      <w:r w:rsidRPr="00C000A1">
        <w:rPr>
          <w:rFonts w:asciiTheme="majorHAnsi" w:hAnsiTheme="majorHAnsi" w:cstheme="majorHAnsi"/>
          <w:sz w:val="24"/>
          <w:szCs w:val="24"/>
        </w:rPr>
        <w:t xml:space="preserve"> ) </w:t>
      </w:r>
      <w:r w:rsidR="009D7A03" w:rsidRPr="00C000A1">
        <w:rPr>
          <w:rFonts w:asciiTheme="majorHAnsi" w:hAnsiTheme="majorHAnsi" w:cstheme="majorHAnsi"/>
          <w:sz w:val="24"/>
          <w:szCs w:val="24"/>
        </w:rPr>
        <w:t>contratação por tarefa</w:t>
      </w:r>
    </w:p>
    <w:p w14:paraId="0326532C" w14:textId="22F02F7E" w:rsidR="009D7A03" w:rsidRDefault="009D7A03" w:rsidP="00C000A1">
      <w:pPr>
        <w:pStyle w:val="Normal-TJTR"/>
        <w:spacing w:after="360"/>
        <w:rPr>
          <w:rFonts w:asciiTheme="majorHAnsi" w:hAnsiTheme="majorHAnsi" w:cstheme="majorHAnsi"/>
          <w:sz w:val="24"/>
          <w:szCs w:val="24"/>
        </w:rPr>
      </w:pPr>
      <w:proofErr w:type="gramStart"/>
      <w:r w:rsidRPr="00C000A1">
        <w:rPr>
          <w:rFonts w:asciiTheme="majorHAnsi" w:hAnsiTheme="majorHAnsi" w:cstheme="majorHAnsi"/>
          <w:sz w:val="24"/>
          <w:szCs w:val="24"/>
        </w:rPr>
        <w:t xml:space="preserve">(  </w:t>
      </w:r>
      <w:proofErr w:type="gramEnd"/>
      <w:r w:rsidRPr="00C000A1">
        <w:rPr>
          <w:rFonts w:asciiTheme="majorHAnsi" w:hAnsiTheme="majorHAnsi" w:cstheme="majorHAnsi"/>
          <w:sz w:val="24"/>
          <w:szCs w:val="24"/>
        </w:rPr>
        <w:t xml:space="preserve"> ) contratação integrada</w:t>
      </w:r>
    </w:p>
    <w:p w14:paraId="735AC95D" w14:textId="65180734" w:rsidR="00F75E4C" w:rsidRPr="00C000A1" w:rsidRDefault="00F75E4C" w:rsidP="00C000A1">
      <w:pPr>
        <w:pStyle w:val="Normal-TJTR"/>
        <w:spacing w:after="360"/>
        <w:rPr>
          <w:rFonts w:asciiTheme="majorHAnsi" w:hAnsiTheme="majorHAnsi" w:cstheme="majorHAnsi"/>
          <w:sz w:val="24"/>
          <w:szCs w:val="24"/>
        </w:rPr>
      </w:pPr>
      <w:proofErr w:type="gramStart"/>
      <w:r w:rsidRPr="00C000A1">
        <w:rPr>
          <w:rFonts w:asciiTheme="majorHAnsi" w:hAnsiTheme="majorHAnsi" w:cstheme="majorHAnsi"/>
          <w:sz w:val="24"/>
          <w:szCs w:val="24"/>
        </w:rPr>
        <w:t>(</w:t>
      </w:r>
      <w:r w:rsidR="00140063">
        <w:rPr>
          <w:rFonts w:asciiTheme="majorHAnsi" w:hAnsiTheme="majorHAnsi" w:cstheme="majorHAnsi"/>
          <w:sz w:val="24"/>
          <w:szCs w:val="24"/>
        </w:rPr>
        <w:t xml:space="preserve"> </w:t>
      </w:r>
      <w:r w:rsidR="00140063" w:rsidRPr="00140063">
        <w:rPr>
          <w:rFonts w:asciiTheme="majorHAnsi" w:hAnsiTheme="majorHAnsi" w:cstheme="majorHAnsi"/>
          <w:b/>
          <w:bCs/>
          <w:sz w:val="24"/>
          <w:szCs w:val="24"/>
          <w:u w:val="single"/>
        </w:rPr>
        <w:t>X</w:t>
      </w:r>
      <w:proofErr w:type="gramEnd"/>
      <w:r w:rsidR="00140063" w:rsidRPr="00140063">
        <w:rPr>
          <w:rFonts w:asciiTheme="majorHAnsi" w:hAnsiTheme="majorHAnsi" w:cstheme="majorHAnsi"/>
          <w:sz w:val="24"/>
          <w:szCs w:val="24"/>
        </w:rPr>
        <w:t xml:space="preserve"> </w:t>
      </w:r>
      <w:r w:rsidRPr="00C000A1">
        <w:rPr>
          <w:rFonts w:asciiTheme="majorHAnsi" w:hAnsiTheme="majorHAnsi" w:cstheme="majorHAnsi"/>
          <w:sz w:val="24"/>
          <w:szCs w:val="24"/>
        </w:rPr>
        <w:t xml:space="preserve">) contratação </w:t>
      </w:r>
      <w:proofErr w:type="spellStart"/>
      <w:r>
        <w:rPr>
          <w:rFonts w:asciiTheme="majorHAnsi" w:hAnsiTheme="majorHAnsi" w:cstheme="majorHAnsi"/>
          <w:sz w:val="24"/>
          <w:szCs w:val="24"/>
        </w:rPr>
        <w:t>semi-</w:t>
      </w:r>
      <w:r w:rsidRPr="00C000A1">
        <w:rPr>
          <w:rFonts w:asciiTheme="majorHAnsi" w:hAnsiTheme="majorHAnsi" w:cstheme="majorHAnsi"/>
          <w:sz w:val="24"/>
          <w:szCs w:val="24"/>
        </w:rPr>
        <w:t>integrada</w:t>
      </w:r>
      <w:proofErr w:type="spellEnd"/>
    </w:p>
    <w:p w14:paraId="4D4EB495" w14:textId="60B1DAB6" w:rsidR="009D7A03" w:rsidRPr="00C000A1" w:rsidRDefault="009D7A03" w:rsidP="00C000A1">
      <w:pPr>
        <w:pStyle w:val="Normal-TJTR"/>
        <w:spacing w:after="360"/>
        <w:rPr>
          <w:rFonts w:asciiTheme="majorHAnsi" w:hAnsiTheme="majorHAnsi" w:cstheme="majorHAnsi"/>
          <w:sz w:val="24"/>
          <w:szCs w:val="24"/>
        </w:rPr>
      </w:pPr>
      <w:proofErr w:type="gramStart"/>
      <w:r w:rsidRPr="00C000A1">
        <w:rPr>
          <w:rFonts w:asciiTheme="majorHAnsi" w:hAnsiTheme="majorHAnsi" w:cstheme="majorHAnsi"/>
          <w:sz w:val="24"/>
          <w:szCs w:val="24"/>
        </w:rPr>
        <w:t xml:space="preserve">(  </w:t>
      </w:r>
      <w:proofErr w:type="gramEnd"/>
      <w:r w:rsidRPr="00C000A1">
        <w:rPr>
          <w:rFonts w:asciiTheme="majorHAnsi" w:hAnsiTheme="majorHAnsi" w:cstheme="majorHAnsi"/>
          <w:sz w:val="24"/>
          <w:szCs w:val="24"/>
        </w:rPr>
        <w:t xml:space="preserve"> ) fornecimento e prestação de serviço associado</w:t>
      </w:r>
    </w:p>
    <w:p w14:paraId="6D907BE7" w14:textId="483A9C44" w:rsidR="00A15C6E" w:rsidRPr="00314E4D" w:rsidRDefault="00140063" w:rsidP="00C000A1">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sidRPr="00140063">
        <w:rPr>
          <w:rFonts w:asciiTheme="majorHAnsi" w:hAnsiTheme="majorHAnsi" w:cstheme="majorHAnsi"/>
          <w:b/>
          <w:bCs/>
          <w:sz w:val="24"/>
          <w:szCs w:val="24"/>
          <w:u w:val="single"/>
          <w:lang w:eastAsia="pt-BR"/>
        </w:rPr>
        <w:t>ADMINISTRAÇÃO ELABOR</w:t>
      </w:r>
      <w:r>
        <w:rPr>
          <w:rFonts w:asciiTheme="majorHAnsi" w:hAnsiTheme="majorHAnsi" w:cstheme="majorHAnsi"/>
          <w:b/>
          <w:bCs/>
          <w:sz w:val="24"/>
          <w:szCs w:val="24"/>
          <w:u w:val="single"/>
          <w:lang w:eastAsia="pt-BR"/>
        </w:rPr>
        <w:t>OU</w:t>
      </w:r>
      <w:r w:rsidRPr="00140063">
        <w:rPr>
          <w:rFonts w:asciiTheme="majorHAnsi" w:hAnsiTheme="majorHAnsi" w:cstheme="majorHAnsi"/>
          <w:b/>
          <w:bCs/>
          <w:sz w:val="24"/>
          <w:szCs w:val="24"/>
          <w:u w:val="single"/>
          <w:lang w:eastAsia="pt-BR"/>
        </w:rPr>
        <w:t xml:space="preserve"> O PROJETO BÁSICO DA LICITAÇÃO, ATRIBUINDO AO CONTRATADO A RESPONSABILIDADE PELA ELABORAÇÃO DO PROJETO EXECUTIVO</w:t>
      </w:r>
      <w:r>
        <w:rPr>
          <w:rFonts w:asciiTheme="majorHAnsi" w:hAnsiTheme="majorHAnsi" w:cstheme="majorHAnsi"/>
          <w:b/>
          <w:bCs/>
          <w:sz w:val="24"/>
          <w:szCs w:val="24"/>
          <w:u w:val="single"/>
          <w:lang w:eastAsia="pt-BR"/>
        </w:rPr>
        <w:t xml:space="preserve"> E POSTERIORMENTE SUA EXECUÇÃO.</w:t>
      </w:r>
    </w:p>
    <w:p w14:paraId="73E6929C" w14:textId="16223588" w:rsidR="0554D60B" w:rsidRPr="00C000A1" w:rsidRDefault="46CB0AE4" w:rsidP="00B105EE">
      <w:pPr>
        <w:pStyle w:val="TextoAGU"/>
        <w:numPr>
          <w:ilvl w:val="0"/>
          <w:numId w:val="0"/>
        </w:numPr>
        <w:spacing w:before="0"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 xml:space="preserve">Uma vez adotado o regime de </w:t>
      </w:r>
      <w:r w:rsidRPr="00E13694">
        <w:rPr>
          <w:rFonts w:asciiTheme="majorHAnsi" w:hAnsiTheme="majorHAnsi" w:cstheme="majorHAnsi"/>
          <w:b/>
          <w:bCs/>
          <w:sz w:val="24"/>
          <w:szCs w:val="24"/>
          <w:lang w:eastAsia="pt-BR"/>
        </w:rPr>
        <w:t>empreitada por preço global</w:t>
      </w:r>
      <w:r w:rsidRPr="00C000A1">
        <w:rPr>
          <w:rFonts w:asciiTheme="majorHAnsi" w:hAnsiTheme="majorHAnsi" w:cstheme="majorHAnsi"/>
          <w:sz w:val="24"/>
          <w:szCs w:val="24"/>
          <w:lang w:eastAsia="pt-BR"/>
        </w:rPr>
        <w:t xml:space="preserve"> </w:t>
      </w:r>
      <w:r w:rsidR="113B1D0F" w:rsidRPr="00C000A1">
        <w:rPr>
          <w:rFonts w:asciiTheme="majorHAnsi" w:hAnsiTheme="majorHAnsi" w:cstheme="majorHAnsi"/>
          <w:sz w:val="24"/>
          <w:szCs w:val="24"/>
          <w:lang w:eastAsia="pt-BR"/>
        </w:rPr>
        <w:t xml:space="preserve">/ </w:t>
      </w:r>
      <w:r w:rsidRPr="00E13694">
        <w:rPr>
          <w:rFonts w:asciiTheme="majorHAnsi" w:hAnsiTheme="majorHAnsi" w:cstheme="majorHAnsi"/>
          <w:b/>
          <w:bCs/>
          <w:sz w:val="24"/>
          <w:szCs w:val="24"/>
          <w:lang w:eastAsia="pt-BR"/>
        </w:rPr>
        <w:t>empreitada integral</w:t>
      </w:r>
      <w:r w:rsidRPr="00C000A1">
        <w:rPr>
          <w:rFonts w:asciiTheme="majorHAnsi" w:hAnsiTheme="majorHAnsi" w:cstheme="majorHAnsi"/>
          <w:sz w:val="24"/>
          <w:szCs w:val="24"/>
          <w:lang w:eastAsia="pt-BR"/>
        </w:rPr>
        <w:t xml:space="preserve">, o Projeto Básico </w:t>
      </w:r>
      <w:proofErr w:type="gramStart"/>
      <w:r w:rsidR="003F3D51">
        <w:rPr>
          <w:rFonts w:asciiTheme="majorHAnsi" w:hAnsiTheme="majorHAnsi" w:cstheme="majorHAnsi"/>
          <w:sz w:val="24"/>
          <w:szCs w:val="24"/>
          <w:lang w:eastAsia="pt-BR"/>
        </w:rPr>
        <w:t>(</w:t>
      </w:r>
      <w:r w:rsidR="00314E4D">
        <w:rPr>
          <w:rFonts w:asciiTheme="majorHAnsi" w:hAnsiTheme="majorHAnsi" w:cstheme="majorHAnsi"/>
          <w:sz w:val="24"/>
          <w:szCs w:val="24"/>
          <w:lang w:eastAsia="pt-BR"/>
        </w:rPr>
        <w:t xml:space="preserve"> </w:t>
      </w:r>
      <w:r w:rsidR="00314E4D">
        <w:rPr>
          <w:rFonts w:asciiTheme="majorHAnsi" w:hAnsiTheme="majorHAnsi" w:cstheme="majorHAnsi"/>
          <w:b/>
          <w:bCs/>
          <w:sz w:val="24"/>
          <w:szCs w:val="24"/>
          <w:u w:val="single"/>
          <w:lang w:eastAsia="pt-BR"/>
        </w:rPr>
        <w:t>X</w:t>
      </w:r>
      <w:proofErr w:type="gramEnd"/>
      <w:r w:rsidR="00314E4D">
        <w:rPr>
          <w:rFonts w:asciiTheme="majorHAnsi" w:hAnsiTheme="majorHAnsi" w:cstheme="majorHAnsi"/>
          <w:sz w:val="24"/>
          <w:szCs w:val="24"/>
          <w:lang w:eastAsia="pt-BR"/>
        </w:rPr>
        <w:t xml:space="preserve"> </w:t>
      </w:r>
      <w:r w:rsidR="003F3D51">
        <w:rPr>
          <w:rFonts w:asciiTheme="majorHAnsi" w:hAnsiTheme="majorHAnsi" w:cstheme="majorHAnsi"/>
          <w:sz w:val="24"/>
          <w:szCs w:val="24"/>
          <w:lang w:eastAsia="pt-BR"/>
        </w:rPr>
        <w:t xml:space="preserve">) </w:t>
      </w:r>
      <w:r w:rsidR="003F3D51" w:rsidRPr="00C000A1">
        <w:rPr>
          <w:rFonts w:asciiTheme="majorHAnsi" w:hAnsiTheme="majorHAnsi" w:cstheme="majorHAnsi"/>
          <w:sz w:val="24"/>
          <w:szCs w:val="24"/>
          <w:lang w:eastAsia="pt-BR"/>
        </w:rPr>
        <w:t xml:space="preserve">DEFINIU </w:t>
      </w:r>
      <w:r w:rsidRPr="00C000A1">
        <w:rPr>
          <w:rFonts w:asciiTheme="majorHAnsi" w:hAnsiTheme="majorHAnsi" w:cstheme="majorHAnsi"/>
          <w:sz w:val="24"/>
          <w:szCs w:val="24"/>
          <w:lang w:eastAsia="pt-BR"/>
        </w:rPr>
        <w:t>as subestimativas e superestimativas técnicas relevantes dos serviços relativos à presente contratação, segundo as diretrizes do Acórdã</w:t>
      </w:r>
      <w:r w:rsidR="70DB23B5" w:rsidRPr="00C000A1">
        <w:rPr>
          <w:rFonts w:asciiTheme="majorHAnsi" w:hAnsiTheme="majorHAnsi" w:cstheme="majorHAnsi"/>
          <w:sz w:val="24"/>
          <w:szCs w:val="24"/>
          <w:lang w:eastAsia="pt-BR"/>
        </w:rPr>
        <w:t>o n. 1.977/2013-Plenário TCU</w:t>
      </w:r>
      <w:r w:rsidR="5C224734" w:rsidRPr="00C000A1">
        <w:rPr>
          <w:rFonts w:asciiTheme="majorHAnsi" w:hAnsiTheme="majorHAnsi" w:cstheme="majorHAnsi"/>
          <w:sz w:val="24"/>
          <w:szCs w:val="24"/>
          <w:lang w:eastAsia="pt-BR"/>
        </w:rPr>
        <w:t>,</w:t>
      </w:r>
      <w:r w:rsidR="70DB23B5" w:rsidRPr="00C000A1">
        <w:rPr>
          <w:rFonts w:asciiTheme="majorHAnsi" w:hAnsiTheme="majorHAnsi" w:cstheme="majorHAnsi"/>
          <w:sz w:val="24"/>
          <w:szCs w:val="24"/>
          <w:lang w:eastAsia="pt-BR"/>
        </w:rPr>
        <w:t xml:space="preserve"> adotando os seguintes parâmetros</w:t>
      </w:r>
      <w:r w:rsidR="6A1F2ABB" w:rsidRPr="00C000A1">
        <w:rPr>
          <w:rFonts w:asciiTheme="majorHAnsi" w:hAnsiTheme="majorHAnsi" w:cstheme="majorHAnsi"/>
          <w:sz w:val="24"/>
          <w:szCs w:val="24"/>
          <w:lang w:eastAsia="pt-BR"/>
        </w:rPr>
        <w:t xml:space="preserve"> descritos no documento abaixo identificado:</w:t>
      </w:r>
    </w:p>
    <w:p w14:paraId="3588699C" w14:textId="2C92804C" w:rsidR="0554D60B" w:rsidRPr="00C122D7" w:rsidRDefault="00C122D7" w:rsidP="00E13694">
      <w:pPr>
        <w:pStyle w:val="TextoAGU"/>
        <w:numPr>
          <w:ilvl w:val="0"/>
          <w:numId w:val="0"/>
        </w:numPr>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 xml:space="preserve">AS SUBESTIMATIVAS E SUPERTIMATIVAS RELEVANTES A QUANTIDADE DE SERVIÇOS, SERÃO AVALIADAS QUANDO O REFERIDO SERVIÇO </w:t>
      </w:r>
      <w:r w:rsidR="00241966">
        <w:rPr>
          <w:rFonts w:asciiTheme="majorHAnsi" w:hAnsiTheme="majorHAnsi" w:cstheme="majorHAnsi"/>
          <w:b/>
          <w:bCs/>
          <w:sz w:val="24"/>
          <w:szCs w:val="24"/>
          <w:u w:val="single"/>
          <w:lang w:eastAsia="pt-BR"/>
        </w:rPr>
        <w:t>SE ENQUADRAR</w:t>
      </w:r>
      <w:r>
        <w:rPr>
          <w:rFonts w:asciiTheme="majorHAnsi" w:hAnsiTheme="majorHAnsi" w:cstheme="majorHAnsi"/>
          <w:b/>
          <w:bCs/>
          <w:sz w:val="24"/>
          <w:szCs w:val="24"/>
          <w:u w:val="single"/>
          <w:lang w:eastAsia="pt-BR"/>
        </w:rPr>
        <w:t xml:space="preserve"> COMO SERVIÇO SIGNIFICATIVO (REPRESENTATIVIDADE MONETÁRIA MAIOR</w:t>
      </w:r>
      <w:r w:rsidR="00F60FFE">
        <w:rPr>
          <w:rFonts w:asciiTheme="majorHAnsi" w:hAnsiTheme="majorHAnsi" w:cstheme="majorHAnsi"/>
          <w:b/>
          <w:bCs/>
          <w:sz w:val="24"/>
          <w:szCs w:val="24"/>
          <w:u w:val="single"/>
          <w:lang w:eastAsia="pt-BR"/>
        </w:rPr>
        <w:t xml:space="preserve"> OU IGUAL A</w:t>
      </w:r>
      <w:r>
        <w:rPr>
          <w:rFonts w:asciiTheme="majorHAnsi" w:hAnsiTheme="majorHAnsi" w:cstheme="majorHAnsi"/>
          <w:b/>
          <w:bCs/>
          <w:sz w:val="24"/>
          <w:szCs w:val="24"/>
          <w:u w:val="single"/>
          <w:lang w:eastAsia="pt-BR"/>
        </w:rPr>
        <w:t xml:space="preserve"> </w:t>
      </w:r>
      <w:r w:rsidR="00241966">
        <w:rPr>
          <w:rFonts w:asciiTheme="majorHAnsi" w:hAnsiTheme="majorHAnsi" w:cstheme="majorHAnsi"/>
          <w:b/>
          <w:bCs/>
          <w:sz w:val="24"/>
          <w:szCs w:val="24"/>
          <w:u w:val="single"/>
          <w:lang w:eastAsia="pt-BR"/>
        </w:rPr>
        <w:t>1</w:t>
      </w:r>
      <w:r w:rsidR="00A86D69">
        <w:rPr>
          <w:rFonts w:asciiTheme="majorHAnsi" w:hAnsiTheme="majorHAnsi" w:cstheme="majorHAnsi"/>
          <w:b/>
          <w:bCs/>
          <w:sz w:val="24"/>
          <w:szCs w:val="24"/>
          <w:u w:val="single"/>
          <w:lang w:eastAsia="pt-BR"/>
        </w:rPr>
        <w:t>2,46</w:t>
      </w:r>
      <w:r>
        <w:rPr>
          <w:rFonts w:asciiTheme="majorHAnsi" w:hAnsiTheme="majorHAnsi" w:cstheme="majorHAnsi"/>
          <w:b/>
          <w:bCs/>
          <w:sz w:val="24"/>
          <w:szCs w:val="24"/>
          <w:u w:val="single"/>
          <w:lang w:eastAsia="pt-BR"/>
        </w:rPr>
        <w:t xml:space="preserve">% DO VALOR DA OBRA) E A VARIAÇÃO DO SERVIÇOS SUPERAR </w:t>
      </w:r>
      <w:r w:rsidR="00241966">
        <w:rPr>
          <w:rFonts w:asciiTheme="majorHAnsi" w:hAnsiTheme="majorHAnsi" w:cstheme="majorHAnsi"/>
          <w:b/>
          <w:bCs/>
          <w:sz w:val="24"/>
          <w:szCs w:val="24"/>
          <w:u w:val="single"/>
          <w:lang w:eastAsia="pt-BR"/>
        </w:rPr>
        <w:t>9,99</w:t>
      </w:r>
      <w:r>
        <w:rPr>
          <w:rFonts w:asciiTheme="majorHAnsi" w:hAnsiTheme="majorHAnsi" w:cstheme="majorHAnsi"/>
          <w:b/>
          <w:bCs/>
          <w:sz w:val="24"/>
          <w:szCs w:val="24"/>
          <w:u w:val="single"/>
          <w:lang w:eastAsia="pt-BR"/>
        </w:rPr>
        <w:t>%</w:t>
      </w:r>
      <w:r w:rsidR="001A798E">
        <w:rPr>
          <w:rFonts w:asciiTheme="majorHAnsi" w:hAnsiTheme="majorHAnsi" w:cstheme="majorHAnsi"/>
          <w:b/>
          <w:bCs/>
          <w:sz w:val="24"/>
          <w:szCs w:val="24"/>
          <w:u w:val="single"/>
          <w:lang w:eastAsia="pt-BR"/>
        </w:rPr>
        <w:t xml:space="preserve"> (RISCO E LUCROS PREVISTOS)</w:t>
      </w:r>
      <w:r>
        <w:rPr>
          <w:rFonts w:asciiTheme="majorHAnsi" w:hAnsiTheme="majorHAnsi" w:cstheme="majorHAnsi"/>
          <w:b/>
          <w:bCs/>
          <w:sz w:val="24"/>
          <w:szCs w:val="24"/>
          <w:u w:val="single"/>
          <w:lang w:eastAsia="pt-BR"/>
        </w:rPr>
        <w:t xml:space="preserve"> PARA MAIS OU PARA MENOS.</w:t>
      </w:r>
    </w:p>
    <w:p w14:paraId="21D2CD16" w14:textId="669A499B" w:rsidR="000463F8" w:rsidRPr="00C000A1" w:rsidRDefault="003F3D51" w:rsidP="000463F8">
      <w:pPr>
        <w:pStyle w:val="Normal-TJTR"/>
        <w:spacing w:after="360"/>
        <w:rPr>
          <w:rFonts w:asciiTheme="majorHAnsi" w:hAnsiTheme="majorHAnsi" w:cstheme="majorHAnsi"/>
          <w:sz w:val="24"/>
          <w:szCs w:val="24"/>
        </w:rPr>
      </w:pPr>
      <w:r w:rsidRPr="00C000A1">
        <w:rPr>
          <w:rFonts w:asciiTheme="majorHAnsi" w:hAnsiTheme="majorHAnsi" w:cstheme="majorHAnsi"/>
          <w:sz w:val="24"/>
          <w:szCs w:val="24"/>
          <w:lang w:eastAsia="pt-BR"/>
        </w:rPr>
        <w:t xml:space="preserve">Uma vez adotado o regime de </w:t>
      </w:r>
      <w:r w:rsidRPr="00E13694">
        <w:rPr>
          <w:rFonts w:asciiTheme="majorHAnsi" w:hAnsiTheme="majorHAnsi" w:cstheme="majorHAnsi"/>
          <w:b/>
          <w:bCs/>
          <w:sz w:val="24"/>
          <w:szCs w:val="24"/>
          <w:lang w:eastAsia="pt-BR"/>
        </w:rPr>
        <w:t>empreitada por preço global</w:t>
      </w:r>
      <w:r w:rsidRPr="00C000A1">
        <w:rPr>
          <w:rFonts w:asciiTheme="majorHAnsi" w:hAnsiTheme="majorHAnsi" w:cstheme="majorHAnsi"/>
          <w:sz w:val="24"/>
          <w:szCs w:val="24"/>
          <w:lang w:eastAsia="pt-BR"/>
        </w:rPr>
        <w:t xml:space="preserve"> / </w:t>
      </w:r>
      <w:r w:rsidRPr="00E13694">
        <w:rPr>
          <w:rFonts w:asciiTheme="majorHAnsi" w:hAnsiTheme="majorHAnsi" w:cstheme="majorHAnsi"/>
          <w:b/>
          <w:bCs/>
          <w:sz w:val="24"/>
          <w:szCs w:val="24"/>
          <w:lang w:eastAsia="pt-BR"/>
        </w:rPr>
        <w:t>empreitada integral</w:t>
      </w:r>
      <w:r w:rsidRPr="00C000A1">
        <w:rPr>
          <w:rFonts w:asciiTheme="majorHAnsi" w:hAnsiTheme="majorHAnsi" w:cstheme="majorHAnsi"/>
          <w:sz w:val="24"/>
          <w:szCs w:val="24"/>
          <w:lang w:eastAsia="pt-BR"/>
        </w:rPr>
        <w:t xml:space="preserve">, o Projeto Básico </w:t>
      </w:r>
      <w:proofErr w:type="gramStart"/>
      <w:r>
        <w:rPr>
          <w:rFonts w:asciiTheme="majorHAnsi" w:hAnsiTheme="majorHAnsi" w:cstheme="majorHAnsi"/>
          <w:sz w:val="24"/>
          <w:szCs w:val="24"/>
          <w:lang w:eastAsia="pt-BR"/>
        </w:rPr>
        <w:t>(</w:t>
      </w:r>
      <w:r w:rsidR="00C849D4">
        <w:rPr>
          <w:rFonts w:asciiTheme="majorHAnsi" w:hAnsiTheme="majorHAnsi" w:cstheme="majorHAnsi"/>
          <w:sz w:val="24"/>
          <w:szCs w:val="24"/>
          <w:lang w:eastAsia="pt-BR"/>
        </w:rPr>
        <w:t xml:space="preserve">  </w:t>
      </w:r>
      <w:r>
        <w:rPr>
          <w:rFonts w:asciiTheme="majorHAnsi" w:hAnsiTheme="majorHAnsi" w:cstheme="majorHAnsi"/>
          <w:sz w:val="24"/>
          <w:szCs w:val="24"/>
          <w:lang w:eastAsia="pt-BR"/>
        </w:rPr>
        <w:t>)</w:t>
      </w:r>
      <w:proofErr w:type="gramEnd"/>
      <w:r>
        <w:rPr>
          <w:rFonts w:asciiTheme="majorHAnsi" w:hAnsiTheme="majorHAnsi" w:cstheme="majorHAnsi"/>
          <w:sz w:val="24"/>
          <w:szCs w:val="24"/>
          <w:lang w:eastAsia="pt-BR"/>
        </w:rPr>
        <w:t xml:space="preserve"> NÃO DEFINIU</w:t>
      </w:r>
      <w:r w:rsidR="001010FA" w:rsidRPr="001010FA">
        <w:rPr>
          <w:rFonts w:asciiTheme="majorHAnsi" w:hAnsiTheme="majorHAnsi" w:cstheme="majorHAnsi"/>
          <w:sz w:val="24"/>
          <w:szCs w:val="24"/>
          <w:lang w:eastAsia="pt-BR"/>
        </w:rPr>
        <w:t xml:space="preserve"> </w:t>
      </w:r>
      <w:r w:rsidR="001010FA" w:rsidRPr="00C000A1">
        <w:rPr>
          <w:rFonts w:asciiTheme="majorHAnsi" w:hAnsiTheme="majorHAnsi" w:cstheme="majorHAnsi"/>
          <w:sz w:val="24"/>
          <w:szCs w:val="24"/>
          <w:lang w:eastAsia="pt-BR"/>
        </w:rPr>
        <w:t>as subestimativas e superestimativas técnicas relevantes dos serviços relativos à presente contratação</w:t>
      </w:r>
      <w:r w:rsidR="000463F8" w:rsidRPr="00C000A1">
        <w:rPr>
          <w:rFonts w:asciiTheme="majorHAnsi" w:hAnsiTheme="majorHAnsi" w:cstheme="majorHAnsi"/>
          <w:sz w:val="24"/>
          <w:szCs w:val="24"/>
        </w:rPr>
        <w:t xml:space="preserve">, sob a seguinte </w:t>
      </w:r>
      <w:r w:rsidR="000463F8" w:rsidRPr="00C000A1">
        <w:rPr>
          <w:rFonts w:asciiTheme="majorHAnsi" w:hAnsiTheme="majorHAnsi" w:cstheme="majorHAnsi"/>
          <w:b/>
          <w:bCs/>
          <w:sz w:val="24"/>
          <w:szCs w:val="24"/>
        </w:rPr>
        <w:t>justificativa</w:t>
      </w:r>
      <w:r w:rsidR="000463F8" w:rsidRPr="00C000A1">
        <w:rPr>
          <w:rFonts w:asciiTheme="majorHAnsi" w:hAnsiTheme="majorHAnsi" w:cstheme="majorHAnsi"/>
          <w:sz w:val="24"/>
          <w:szCs w:val="24"/>
        </w:rPr>
        <w:t>:</w:t>
      </w:r>
    </w:p>
    <w:p w14:paraId="27C335B9" w14:textId="672737F3" w:rsidR="003F3D51" w:rsidRPr="00C849D4" w:rsidRDefault="00C849D4" w:rsidP="003F3D51">
      <w:pPr>
        <w:pStyle w:val="TextoAGU"/>
        <w:numPr>
          <w:ilvl w:val="0"/>
          <w:numId w:val="0"/>
        </w:numPr>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OS PARÂMETROS DE AVALIAÇÃO DAS SUBESTIMATIVAS E SUPERESTIMATIVAS FORAM DENFINIDAS.</w:t>
      </w:r>
    </w:p>
    <w:p w14:paraId="7793DD15" w14:textId="6A6698F4" w:rsidR="00E13694" w:rsidRDefault="001E704A"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2" w:history="1">
        <w:r w:rsidR="00DC7BBD" w:rsidRPr="00804DDD">
          <w:rPr>
            <w:rStyle w:val="Hyperlink"/>
            <w:rFonts w:asciiTheme="majorHAnsi" w:hAnsiTheme="majorHAnsi" w:cstheme="majorHAnsi"/>
            <w:sz w:val="24"/>
            <w:szCs w:val="24"/>
          </w:rPr>
          <w:t xml:space="preserve">Vide </w:t>
        </w:r>
        <w:r w:rsidR="00804DDD" w:rsidRPr="00804DDD">
          <w:rPr>
            <w:rStyle w:val="Hyperlink"/>
            <w:rFonts w:asciiTheme="majorHAnsi" w:hAnsiTheme="majorHAnsi" w:cstheme="majorHAnsi"/>
            <w:sz w:val="24"/>
            <w:szCs w:val="24"/>
          </w:rPr>
          <w:t>Nota Explicativa n. 2.</w:t>
        </w:r>
      </w:hyperlink>
    </w:p>
    <w:p w14:paraId="66056C7E" w14:textId="77777777" w:rsidR="006A29A9" w:rsidRPr="00C000A1" w:rsidRDefault="006A29A9"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2B9F3442" w14:textId="57C34D2B" w:rsidR="00C20DFC"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10" w:name="_Toc142556186"/>
      <w:bookmarkStart w:id="11" w:name="nt_3_retorno"/>
      <w:r w:rsidRPr="00C000A1">
        <w:rPr>
          <w:rFonts w:cstheme="majorHAnsi"/>
          <w:caps w:val="0"/>
          <w:szCs w:val="24"/>
        </w:rPr>
        <w:lastRenderedPageBreak/>
        <w:t>ELABORAÇÃO DE PROJETO</w:t>
      </w:r>
      <w:r w:rsidR="00FD263D">
        <w:rPr>
          <w:rFonts w:cstheme="majorHAnsi"/>
          <w:caps w:val="0"/>
          <w:szCs w:val="24"/>
        </w:rPr>
        <w:t>S</w:t>
      </w:r>
      <w:r w:rsidRPr="00C000A1">
        <w:rPr>
          <w:rFonts w:cstheme="majorHAnsi"/>
          <w:caps w:val="0"/>
          <w:szCs w:val="24"/>
        </w:rPr>
        <w:t xml:space="preserve"> </w:t>
      </w:r>
      <w:r w:rsidR="00EE5D58">
        <w:rPr>
          <w:rFonts w:cstheme="majorHAnsi"/>
          <w:caps w:val="0"/>
          <w:szCs w:val="24"/>
        </w:rPr>
        <w:t>/</w:t>
      </w:r>
      <w:r w:rsidRPr="00C000A1">
        <w:rPr>
          <w:rFonts w:cstheme="majorHAnsi"/>
          <w:caps w:val="0"/>
          <w:szCs w:val="24"/>
        </w:rPr>
        <w:t xml:space="preserve"> DOCUMENTOS TÉCNICOS POR PROFISSIONAL HABILITADO E COMPROVAÇÃO DE RESPONSABILIDADE TÉCNICA</w:t>
      </w:r>
      <w:bookmarkStart w:id="12" w:name="_Hlk141260540"/>
      <w:bookmarkEnd w:id="10"/>
    </w:p>
    <w:bookmarkEnd w:id="11"/>
    <w:bookmarkEnd w:id="12"/>
    <w:p w14:paraId="71EE50AF" w14:textId="16CAB297" w:rsidR="00D82050" w:rsidRDefault="7B1ABF76" w:rsidP="00D82050">
      <w:pPr>
        <w:pStyle w:val="Normal-TJTR"/>
        <w:spacing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 xml:space="preserve">No presente feito, o </w:t>
      </w:r>
      <w:proofErr w:type="gramStart"/>
      <w:r w:rsidRPr="00C000A1">
        <w:rPr>
          <w:rFonts w:asciiTheme="majorHAnsi" w:hAnsiTheme="majorHAnsi" w:cstheme="majorHAnsi"/>
          <w:sz w:val="24"/>
          <w:szCs w:val="24"/>
          <w:lang w:eastAsia="pt-BR"/>
        </w:rPr>
        <w:t>(</w:t>
      </w:r>
      <w:r w:rsidR="00C849D4">
        <w:rPr>
          <w:rFonts w:asciiTheme="majorHAnsi" w:hAnsiTheme="majorHAnsi" w:cstheme="majorHAnsi"/>
          <w:sz w:val="24"/>
          <w:szCs w:val="24"/>
          <w:lang w:eastAsia="pt-BR"/>
        </w:rPr>
        <w:t xml:space="preserve"> </w:t>
      </w:r>
      <w:r w:rsidR="00C849D4">
        <w:rPr>
          <w:rFonts w:asciiTheme="majorHAnsi" w:hAnsiTheme="majorHAnsi" w:cstheme="majorHAnsi"/>
          <w:b/>
          <w:bCs/>
          <w:sz w:val="24"/>
          <w:szCs w:val="24"/>
          <w:u w:val="single"/>
          <w:lang w:eastAsia="pt-BR"/>
        </w:rPr>
        <w:t>X</w:t>
      </w:r>
      <w:proofErr w:type="gramEnd"/>
      <w:r w:rsidR="00C849D4">
        <w:rPr>
          <w:rFonts w:asciiTheme="majorHAnsi" w:hAnsiTheme="majorHAnsi" w:cstheme="majorHAnsi"/>
          <w:sz w:val="24"/>
          <w:szCs w:val="24"/>
          <w:lang w:eastAsia="pt-BR"/>
        </w:rPr>
        <w:t xml:space="preserve"> </w:t>
      </w:r>
      <w:r w:rsidRPr="00C000A1">
        <w:rPr>
          <w:rFonts w:asciiTheme="majorHAnsi" w:hAnsiTheme="majorHAnsi" w:cstheme="majorHAnsi"/>
          <w:sz w:val="24"/>
          <w:szCs w:val="24"/>
          <w:lang w:eastAsia="pt-BR"/>
        </w:rPr>
        <w:t xml:space="preserve">) Projeto Básico / </w:t>
      </w:r>
      <w:r w:rsidR="00EE5D58">
        <w:rPr>
          <w:rFonts w:asciiTheme="majorHAnsi" w:hAnsiTheme="majorHAnsi" w:cstheme="majorHAnsi"/>
          <w:sz w:val="24"/>
          <w:szCs w:val="24"/>
          <w:lang w:eastAsia="pt-BR"/>
        </w:rPr>
        <w:t xml:space="preserve">documentos técnicos </w:t>
      </w:r>
      <w:r w:rsidRPr="00C000A1">
        <w:rPr>
          <w:rFonts w:asciiTheme="majorHAnsi" w:hAnsiTheme="majorHAnsi" w:cstheme="majorHAnsi"/>
          <w:sz w:val="24"/>
          <w:szCs w:val="24"/>
          <w:lang w:eastAsia="pt-BR"/>
        </w:rPr>
        <w:t>fo</w:t>
      </w:r>
      <w:r w:rsidR="00EE5D58">
        <w:rPr>
          <w:rFonts w:asciiTheme="majorHAnsi" w:hAnsiTheme="majorHAnsi" w:cstheme="majorHAnsi"/>
          <w:sz w:val="24"/>
          <w:szCs w:val="24"/>
          <w:lang w:eastAsia="pt-BR"/>
        </w:rPr>
        <w:t xml:space="preserve">ram </w:t>
      </w:r>
      <w:r w:rsidRPr="00C000A1">
        <w:rPr>
          <w:rFonts w:asciiTheme="majorHAnsi" w:hAnsiTheme="majorHAnsi" w:cstheme="majorHAnsi"/>
          <w:sz w:val="24"/>
          <w:szCs w:val="24"/>
          <w:lang w:eastAsia="pt-BR"/>
        </w:rPr>
        <w:t>elaborado</w:t>
      </w:r>
      <w:r w:rsidR="00EE5D58">
        <w:rPr>
          <w:rFonts w:asciiTheme="majorHAnsi" w:hAnsiTheme="majorHAnsi" w:cstheme="majorHAnsi"/>
          <w:sz w:val="24"/>
          <w:szCs w:val="24"/>
          <w:lang w:eastAsia="pt-BR"/>
        </w:rPr>
        <w:t>s</w:t>
      </w:r>
      <w:r w:rsidRPr="00C000A1">
        <w:rPr>
          <w:rFonts w:asciiTheme="majorHAnsi" w:hAnsiTheme="majorHAnsi" w:cstheme="majorHAnsi"/>
          <w:sz w:val="24"/>
          <w:szCs w:val="24"/>
          <w:lang w:eastAsia="pt-BR"/>
        </w:rPr>
        <w:t xml:space="preserve"> por profissional habilitado de (</w:t>
      </w:r>
      <w:r w:rsidR="00C849D4">
        <w:rPr>
          <w:rFonts w:asciiTheme="majorHAnsi" w:hAnsiTheme="majorHAnsi" w:cstheme="majorHAnsi"/>
          <w:sz w:val="24"/>
          <w:szCs w:val="24"/>
          <w:lang w:eastAsia="pt-BR"/>
        </w:rPr>
        <w:t xml:space="preserve"> </w:t>
      </w:r>
      <w:r w:rsidR="00C849D4">
        <w:rPr>
          <w:rFonts w:asciiTheme="majorHAnsi" w:hAnsiTheme="majorHAnsi" w:cstheme="majorHAnsi"/>
          <w:b/>
          <w:bCs/>
          <w:sz w:val="24"/>
          <w:szCs w:val="24"/>
          <w:u w:val="single"/>
          <w:lang w:eastAsia="pt-BR"/>
        </w:rPr>
        <w:t>X</w:t>
      </w:r>
      <w:r w:rsidR="00C849D4">
        <w:rPr>
          <w:rFonts w:asciiTheme="majorHAnsi" w:hAnsiTheme="majorHAnsi" w:cstheme="majorHAnsi"/>
          <w:sz w:val="24"/>
          <w:szCs w:val="24"/>
          <w:lang w:eastAsia="pt-BR"/>
        </w:rPr>
        <w:t xml:space="preserve"> </w:t>
      </w:r>
      <w:r w:rsidRPr="00C000A1">
        <w:rPr>
          <w:rFonts w:asciiTheme="majorHAnsi" w:hAnsiTheme="majorHAnsi" w:cstheme="majorHAnsi"/>
          <w:sz w:val="24"/>
          <w:szCs w:val="24"/>
          <w:lang w:eastAsia="pt-BR"/>
        </w:rPr>
        <w:t>) engenharia</w:t>
      </w:r>
      <w:r w:rsidR="4A191C40" w:rsidRPr="00C000A1">
        <w:rPr>
          <w:rFonts w:asciiTheme="majorHAnsi" w:hAnsiTheme="majorHAnsi" w:cstheme="majorHAnsi"/>
          <w:sz w:val="24"/>
          <w:szCs w:val="24"/>
          <w:lang w:eastAsia="pt-BR"/>
        </w:rPr>
        <w:t>,</w:t>
      </w:r>
      <w:r w:rsidRPr="00C000A1">
        <w:rPr>
          <w:rFonts w:asciiTheme="majorHAnsi" w:hAnsiTheme="majorHAnsi" w:cstheme="majorHAnsi"/>
          <w:sz w:val="24"/>
          <w:szCs w:val="24"/>
          <w:lang w:eastAsia="pt-BR"/>
        </w:rPr>
        <w:t xml:space="preserve"> (    ) arquitetura ou (    ) técnico industrial, com a emissão da (</w:t>
      </w:r>
      <w:r w:rsidR="00C849D4">
        <w:rPr>
          <w:rFonts w:asciiTheme="majorHAnsi" w:hAnsiTheme="majorHAnsi" w:cstheme="majorHAnsi"/>
          <w:sz w:val="24"/>
          <w:szCs w:val="24"/>
          <w:lang w:eastAsia="pt-BR"/>
        </w:rPr>
        <w:t xml:space="preserve"> </w:t>
      </w:r>
      <w:r w:rsidR="00C849D4">
        <w:rPr>
          <w:rFonts w:asciiTheme="majorHAnsi" w:hAnsiTheme="majorHAnsi" w:cstheme="majorHAnsi"/>
          <w:b/>
          <w:bCs/>
          <w:sz w:val="24"/>
          <w:szCs w:val="24"/>
          <w:u w:val="single"/>
          <w:lang w:eastAsia="pt-BR"/>
        </w:rPr>
        <w:t>X</w:t>
      </w:r>
      <w:r w:rsidR="00C849D4">
        <w:rPr>
          <w:rFonts w:asciiTheme="majorHAnsi" w:hAnsiTheme="majorHAnsi" w:cstheme="majorHAnsi"/>
          <w:sz w:val="24"/>
          <w:szCs w:val="24"/>
          <w:lang w:eastAsia="pt-BR"/>
        </w:rPr>
        <w:t xml:space="preserve"> </w:t>
      </w:r>
      <w:r w:rsidRPr="00C000A1">
        <w:rPr>
          <w:rFonts w:asciiTheme="majorHAnsi" w:hAnsiTheme="majorHAnsi" w:cstheme="majorHAnsi"/>
          <w:sz w:val="24"/>
          <w:szCs w:val="24"/>
          <w:lang w:eastAsia="pt-BR"/>
        </w:rPr>
        <w:t>) ART, (    ) RRT ou (    )</w:t>
      </w:r>
      <w:r w:rsidR="2C243C9F" w:rsidRPr="00C000A1">
        <w:rPr>
          <w:rFonts w:asciiTheme="majorHAnsi" w:hAnsiTheme="majorHAnsi" w:cstheme="majorHAnsi"/>
          <w:sz w:val="24"/>
          <w:szCs w:val="24"/>
          <w:lang w:eastAsia="pt-BR"/>
        </w:rPr>
        <w:t xml:space="preserve"> </w:t>
      </w:r>
      <w:r w:rsidRPr="00C000A1">
        <w:rPr>
          <w:rFonts w:asciiTheme="majorHAnsi" w:hAnsiTheme="majorHAnsi" w:cstheme="majorHAnsi"/>
          <w:sz w:val="24"/>
          <w:szCs w:val="24"/>
          <w:lang w:eastAsia="pt-BR"/>
        </w:rPr>
        <w:t>TRT.</w:t>
      </w:r>
      <w:r w:rsidR="00D82050" w:rsidRPr="00D82050">
        <w:rPr>
          <w:rFonts w:asciiTheme="majorHAnsi" w:hAnsiTheme="majorHAnsi" w:cstheme="majorHAnsi"/>
          <w:sz w:val="24"/>
          <w:szCs w:val="24"/>
          <w:lang w:eastAsia="pt-BR"/>
        </w:rPr>
        <w:t xml:space="preserve"> </w:t>
      </w:r>
    </w:p>
    <w:p w14:paraId="1BEE6A1F" w14:textId="3217B985" w:rsidR="00D82050" w:rsidRPr="00C000A1" w:rsidRDefault="00D82050" w:rsidP="00D82050">
      <w:pPr>
        <w:pStyle w:val="Normal-TJTR"/>
        <w:spacing w:after="360"/>
        <w:rPr>
          <w:rFonts w:asciiTheme="majorHAnsi" w:hAnsiTheme="majorHAnsi" w:cstheme="majorHAnsi"/>
          <w:sz w:val="24"/>
          <w:szCs w:val="24"/>
        </w:rPr>
      </w:pPr>
      <w:r w:rsidRPr="00C000A1">
        <w:rPr>
          <w:rFonts w:asciiTheme="majorHAnsi" w:hAnsiTheme="majorHAnsi" w:cstheme="majorHAnsi"/>
          <w:sz w:val="24"/>
          <w:szCs w:val="24"/>
          <w:lang w:eastAsia="pt-BR"/>
        </w:rPr>
        <w:t>No presente feito, embora o Projeto Básico</w:t>
      </w:r>
      <w:r w:rsidR="00EE5D58">
        <w:rPr>
          <w:rFonts w:asciiTheme="majorHAnsi" w:hAnsiTheme="majorHAnsi" w:cstheme="majorHAnsi"/>
          <w:sz w:val="24"/>
          <w:szCs w:val="24"/>
          <w:lang w:eastAsia="pt-BR"/>
        </w:rPr>
        <w:t xml:space="preserve"> / documentos técnicos </w:t>
      </w:r>
      <w:r w:rsidRPr="00C000A1">
        <w:rPr>
          <w:rFonts w:asciiTheme="majorHAnsi" w:hAnsiTheme="majorHAnsi" w:cstheme="majorHAnsi"/>
          <w:sz w:val="24"/>
          <w:szCs w:val="24"/>
          <w:lang w:eastAsia="pt-BR"/>
        </w:rPr>
        <w:t>tenha</w:t>
      </w:r>
      <w:r w:rsidR="00EE5D58">
        <w:rPr>
          <w:rFonts w:asciiTheme="majorHAnsi" w:hAnsiTheme="majorHAnsi" w:cstheme="majorHAnsi"/>
          <w:sz w:val="24"/>
          <w:szCs w:val="24"/>
          <w:lang w:eastAsia="pt-BR"/>
        </w:rPr>
        <w:t>m</w:t>
      </w:r>
      <w:r w:rsidRPr="00C000A1">
        <w:rPr>
          <w:rFonts w:asciiTheme="majorHAnsi" w:hAnsiTheme="majorHAnsi" w:cstheme="majorHAnsi"/>
          <w:sz w:val="24"/>
          <w:szCs w:val="24"/>
          <w:lang w:eastAsia="pt-BR"/>
        </w:rPr>
        <w:t xml:space="preserve"> sido elaborado</w:t>
      </w:r>
      <w:r w:rsidR="00EE5D58">
        <w:rPr>
          <w:rFonts w:asciiTheme="majorHAnsi" w:hAnsiTheme="majorHAnsi" w:cstheme="majorHAnsi"/>
          <w:sz w:val="24"/>
          <w:szCs w:val="24"/>
          <w:lang w:eastAsia="pt-BR"/>
        </w:rPr>
        <w:t xml:space="preserve">s </w:t>
      </w:r>
      <w:r w:rsidRPr="00C000A1">
        <w:rPr>
          <w:rFonts w:asciiTheme="majorHAnsi" w:hAnsiTheme="majorHAnsi" w:cstheme="majorHAnsi"/>
          <w:sz w:val="24"/>
          <w:szCs w:val="24"/>
          <w:lang w:eastAsia="pt-BR"/>
        </w:rPr>
        <w:t xml:space="preserve">por profissional habilitado de engenharia, arquitetura ou técnico industrial, </w:t>
      </w:r>
      <w:proofErr w:type="gramStart"/>
      <w:r w:rsidR="00FD263D">
        <w:rPr>
          <w:rFonts w:asciiTheme="majorHAnsi" w:hAnsiTheme="majorHAnsi" w:cstheme="majorHAnsi"/>
          <w:sz w:val="24"/>
          <w:szCs w:val="24"/>
          <w:lang w:eastAsia="pt-BR"/>
        </w:rPr>
        <w:t xml:space="preserve">(  </w:t>
      </w:r>
      <w:proofErr w:type="gramEnd"/>
      <w:r w:rsidR="00FD263D">
        <w:rPr>
          <w:rFonts w:asciiTheme="majorHAnsi" w:hAnsiTheme="majorHAnsi" w:cstheme="majorHAnsi"/>
          <w:sz w:val="24"/>
          <w:szCs w:val="24"/>
          <w:lang w:eastAsia="pt-BR"/>
        </w:rPr>
        <w:t xml:space="preserve"> ) </w:t>
      </w:r>
      <w:r w:rsidRPr="00B105EE">
        <w:rPr>
          <w:rFonts w:asciiTheme="majorHAnsi" w:hAnsiTheme="majorHAnsi" w:cstheme="majorHAnsi"/>
          <w:b/>
          <w:bCs/>
          <w:sz w:val="24"/>
          <w:szCs w:val="24"/>
          <w:lang w:eastAsia="pt-BR"/>
        </w:rPr>
        <w:t xml:space="preserve">NÃO </w:t>
      </w:r>
      <w:r w:rsidRPr="00C000A1">
        <w:rPr>
          <w:rFonts w:asciiTheme="majorHAnsi" w:hAnsiTheme="majorHAnsi" w:cstheme="majorHAnsi"/>
          <w:sz w:val="24"/>
          <w:szCs w:val="24"/>
          <w:lang w:eastAsia="pt-BR"/>
        </w:rPr>
        <w:t xml:space="preserve">houve a emissão da ART, RRT ou TRT, </w:t>
      </w:r>
      <w:r w:rsidRPr="00C000A1">
        <w:rPr>
          <w:rFonts w:asciiTheme="majorHAnsi" w:hAnsiTheme="majorHAnsi" w:cstheme="majorHAnsi"/>
          <w:sz w:val="24"/>
          <w:szCs w:val="24"/>
        </w:rPr>
        <w:t xml:space="preserve">com base na seguinte </w:t>
      </w:r>
      <w:r w:rsidRPr="00C000A1">
        <w:rPr>
          <w:rFonts w:asciiTheme="majorHAnsi" w:hAnsiTheme="majorHAnsi" w:cstheme="majorHAnsi"/>
          <w:b/>
          <w:bCs/>
          <w:sz w:val="24"/>
          <w:szCs w:val="24"/>
        </w:rPr>
        <w:t>justificativa</w:t>
      </w:r>
      <w:r w:rsidRPr="00C000A1">
        <w:rPr>
          <w:rFonts w:asciiTheme="majorHAnsi" w:hAnsiTheme="majorHAnsi" w:cstheme="majorHAnsi"/>
          <w:sz w:val="24"/>
          <w:szCs w:val="24"/>
        </w:rPr>
        <w:t>:</w:t>
      </w:r>
    </w:p>
    <w:p w14:paraId="38F21C39" w14:textId="55DACC1F" w:rsidR="0092782C" w:rsidRPr="00C849D4" w:rsidRDefault="00C849D4" w:rsidP="00D82050">
      <w:pPr>
        <w:pStyle w:val="Normal-TJTR"/>
        <w:spacing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HOUVE A EMISSÃO DA ART.</w:t>
      </w:r>
    </w:p>
    <w:p w14:paraId="72F0AC5E" w14:textId="7EB7B980" w:rsidR="05C87380" w:rsidRPr="00C000A1" w:rsidRDefault="05C87380"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lang w:eastAsia="pt-BR"/>
        </w:rPr>
        <w:t xml:space="preserve">No presente feito, </w:t>
      </w:r>
      <w:r w:rsidR="5F3EF8DE" w:rsidRPr="00C000A1">
        <w:rPr>
          <w:rFonts w:asciiTheme="majorHAnsi" w:hAnsiTheme="majorHAnsi" w:cstheme="majorHAnsi"/>
          <w:sz w:val="24"/>
          <w:szCs w:val="24"/>
        </w:rPr>
        <w:t>o Projeto Básico</w:t>
      </w:r>
      <w:r w:rsidR="00854BE1">
        <w:rPr>
          <w:rFonts w:asciiTheme="majorHAnsi" w:hAnsiTheme="majorHAnsi" w:cstheme="majorHAnsi"/>
          <w:sz w:val="24"/>
          <w:szCs w:val="24"/>
        </w:rPr>
        <w:t xml:space="preserve"> </w:t>
      </w:r>
      <w:r w:rsidR="5F3EF8DE" w:rsidRPr="00C000A1">
        <w:rPr>
          <w:rFonts w:asciiTheme="majorHAnsi" w:hAnsiTheme="majorHAnsi" w:cstheme="majorHAnsi"/>
          <w:sz w:val="24"/>
          <w:szCs w:val="24"/>
        </w:rPr>
        <w:t>/</w:t>
      </w:r>
      <w:r w:rsidR="00854BE1">
        <w:rPr>
          <w:rFonts w:asciiTheme="majorHAnsi" w:hAnsiTheme="majorHAnsi" w:cstheme="majorHAnsi"/>
          <w:sz w:val="24"/>
          <w:szCs w:val="24"/>
        </w:rPr>
        <w:t xml:space="preserve"> </w:t>
      </w:r>
      <w:r w:rsidR="00854BE1">
        <w:rPr>
          <w:rFonts w:asciiTheme="majorHAnsi" w:hAnsiTheme="majorHAnsi" w:cstheme="majorHAnsi"/>
          <w:sz w:val="24"/>
          <w:szCs w:val="24"/>
          <w:lang w:eastAsia="pt-BR"/>
        </w:rPr>
        <w:t>documentos técnicos</w:t>
      </w:r>
      <w:r w:rsidR="5F3EF8DE" w:rsidRPr="00C000A1">
        <w:rPr>
          <w:rFonts w:asciiTheme="majorHAnsi" w:hAnsiTheme="majorHAnsi" w:cstheme="majorHAnsi"/>
          <w:sz w:val="24"/>
          <w:szCs w:val="24"/>
        </w:rPr>
        <w:t xml:space="preserve"> </w:t>
      </w:r>
      <w:r w:rsidR="5F3EF8DE" w:rsidRPr="00B105EE">
        <w:rPr>
          <w:rFonts w:asciiTheme="majorHAnsi" w:hAnsiTheme="majorHAnsi" w:cstheme="majorHAnsi"/>
          <w:b/>
          <w:bCs/>
          <w:sz w:val="24"/>
          <w:szCs w:val="24"/>
        </w:rPr>
        <w:t xml:space="preserve">NÃO </w:t>
      </w:r>
      <w:r w:rsidR="5F3EF8DE" w:rsidRPr="00C000A1">
        <w:rPr>
          <w:rFonts w:asciiTheme="majorHAnsi" w:hAnsiTheme="majorHAnsi" w:cstheme="majorHAnsi"/>
          <w:sz w:val="24"/>
          <w:szCs w:val="24"/>
        </w:rPr>
        <w:t>f</w:t>
      </w:r>
      <w:r w:rsidR="00854BE1">
        <w:rPr>
          <w:rFonts w:asciiTheme="majorHAnsi" w:hAnsiTheme="majorHAnsi" w:cstheme="majorHAnsi"/>
          <w:sz w:val="24"/>
          <w:szCs w:val="24"/>
        </w:rPr>
        <w:t>oram</w:t>
      </w:r>
      <w:r w:rsidR="5F3EF8DE" w:rsidRPr="00C000A1">
        <w:rPr>
          <w:rFonts w:asciiTheme="majorHAnsi" w:hAnsiTheme="majorHAnsi" w:cstheme="majorHAnsi"/>
          <w:sz w:val="24"/>
          <w:szCs w:val="24"/>
        </w:rPr>
        <w:t xml:space="preserve"> elaborado</w:t>
      </w:r>
      <w:r w:rsidR="00854BE1">
        <w:rPr>
          <w:rFonts w:asciiTheme="majorHAnsi" w:hAnsiTheme="majorHAnsi" w:cstheme="majorHAnsi"/>
          <w:sz w:val="24"/>
          <w:szCs w:val="24"/>
        </w:rPr>
        <w:t>s</w:t>
      </w:r>
      <w:r w:rsidR="5F3EF8DE" w:rsidRPr="00C000A1">
        <w:rPr>
          <w:rFonts w:asciiTheme="majorHAnsi" w:hAnsiTheme="majorHAnsi" w:cstheme="majorHAnsi"/>
          <w:sz w:val="24"/>
          <w:szCs w:val="24"/>
        </w:rPr>
        <w:t xml:space="preserve"> por profissional habilitado de engenharia, arquitetura ou técnico industrial, </w:t>
      </w:r>
      <w:r w:rsidR="0224F41B" w:rsidRPr="00C000A1">
        <w:rPr>
          <w:rFonts w:asciiTheme="majorHAnsi" w:hAnsiTheme="majorHAnsi" w:cstheme="majorHAnsi"/>
          <w:sz w:val="24"/>
          <w:szCs w:val="24"/>
        </w:rPr>
        <w:t>c</w:t>
      </w:r>
      <w:r w:rsidR="595C949C" w:rsidRPr="00C000A1">
        <w:rPr>
          <w:rFonts w:asciiTheme="majorHAnsi" w:hAnsiTheme="majorHAnsi" w:cstheme="majorHAnsi"/>
          <w:sz w:val="24"/>
          <w:szCs w:val="24"/>
        </w:rPr>
        <w:t xml:space="preserve">om base na seguinte </w:t>
      </w:r>
      <w:r w:rsidR="595C949C" w:rsidRPr="00C000A1">
        <w:rPr>
          <w:rFonts w:asciiTheme="majorHAnsi" w:hAnsiTheme="majorHAnsi" w:cstheme="majorHAnsi"/>
          <w:b/>
          <w:bCs/>
          <w:sz w:val="24"/>
          <w:szCs w:val="24"/>
        </w:rPr>
        <w:t>justificativa</w:t>
      </w:r>
      <w:r w:rsidR="595C949C" w:rsidRPr="00C000A1">
        <w:rPr>
          <w:rFonts w:asciiTheme="majorHAnsi" w:hAnsiTheme="majorHAnsi" w:cstheme="majorHAnsi"/>
          <w:sz w:val="24"/>
          <w:szCs w:val="24"/>
        </w:rPr>
        <w:t xml:space="preserve">: </w:t>
      </w:r>
    </w:p>
    <w:p w14:paraId="2B51BA51" w14:textId="1A5A05F8" w:rsidR="2AB10AD8" w:rsidRPr="00C849D4" w:rsidRDefault="00C849D4" w:rsidP="00C000A1">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O PROJETO BÁSICO E DOCUMENTOS TÉCNICOS FORAM ELABORADOS POR PROFISSIONAL HABILITADE DE ENGENHARIA.</w:t>
      </w:r>
    </w:p>
    <w:p w14:paraId="011652B3" w14:textId="480C8FAD" w:rsidR="00DC7BBD" w:rsidRDefault="001E704A"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3" w:history="1">
        <w:r w:rsidR="00DC7BBD" w:rsidRPr="00804DDD">
          <w:rPr>
            <w:rStyle w:val="Hyperlink"/>
            <w:rFonts w:asciiTheme="majorHAnsi" w:hAnsiTheme="majorHAnsi" w:cstheme="majorHAnsi"/>
            <w:sz w:val="24"/>
            <w:szCs w:val="24"/>
          </w:rPr>
          <w:t xml:space="preserve">Vide </w:t>
        </w:r>
        <w:r w:rsidR="00804DDD" w:rsidRPr="00804DDD">
          <w:rPr>
            <w:rStyle w:val="Hyperlink"/>
            <w:rFonts w:asciiTheme="majorHAnsi" w:hAnsiTheme="majorHAnsi" w:cstheme="majorHAnsi"/>
            <w:sz w:val="24"/>
            <w:szCs w:val="24"/>
          </w:rPr>
          <w:t>Nota Explicativa n. 3.</w:t>
        </w:r>
      </w:hyperlink>
    </w:p>
    <w:p w14:paraId="6016E345" w14:textId="77777777" w:rsidR="00BE754F" w:rsidRPr="00C000A1" w:rsidRDefault="00BE754F"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37243981" w14:textId="02FACA1A" w:rsidR="001B32A6" w:rsidRPr="00B05795" w:rsidRDefault="00854BE1" w:rsidP="00533725">
      <w:pPr>
        <w:pStyle w:val="TJTRSubTT"/>
        <w:shd w:val="clear" w:color="auto" w:fill="D9D9D9" w:themeFill="background1" w:themeFillShade="D9"/>
        <w:spacing w:before="0" w:after="360"/>
        <w:ind w:left="0" w:firstLine="0"/>
        <w:rPr>
          <w:rFonts w:cstheme="majorHAnsi"/>
          <w:szCs w:val="24"/>
        </w:rPr>
      </w:pPr>
      <w:bookmarkStart w:id="13" w:name="_Toc142556187"/>
      <w:bookmarkStart w:id="14" w:name="nt_4_retorno"/>
      <w:r>
        <w:rPr>
          <w:rFonts w:cstheme="majorHAnsi"/>
          <w:caps w:val="0"/>
          <w:szCs w:val="24"/>
        </w:rPr>
        <w:t>DEFINIÇÃO DOS CUSTOS UNITÁRIOS DE REFERÊNCIA</w:t>
      </w:r>
      <w:bookmarkEnd w:id="13"/>
    </w:p>
    <w:bookmarkEnd w:id="14"/>
    <w:p w14:paraId="2F21B45C" w14:textId="77777777" w:rsidR="00854BE1" w:rsidRDefault="00854BE1" w:rsidP="00854BE1">
      <w:pPr>
        <w:pStyle w:val="Normal-TJTR"/>
        <w:spacing w:after="360"/>
        <w:rPr>
          <w:rFonts w:asciiTheme="majorHAnsi" w:hAnsiTheme="majorHAnsi" w:cstheme="majorHAnsi"/>
          <w:sz w:val="24"/>
          <w:szCs w:val="24"/>
          <w:lang w:eastAsia="pt-BR"/>
        </w:rPr>
      </w:pPr>
      <w:r w:rsidRPr="00B15082">
        <w:rPr>
          <w:rFonts w:asciiTheme="majorHAnsi" w:hAnsiTheme="majorHAnsi" w:cstheme="majorHAnsi"/>
          <w:sz w:val="24"/>
          <w:szCs w:val="24"/>
          <w:lang w:eastAsia="pt-BR"/>
        </w:rPr>
        <w:t>Na presente licitação:</w:t>
      </w:r>
    </w:p>
    <w:p w14:paraId="01FEE7C1" w14:textId="4F66E115" w:rsidR="00854BE1" w:rsidRDefault="00854BE1" w:rsidP="00854BE1">
      <w:pPr>
        <w:pStyle w:val="Normal-TJTR"/>
        <w:spacing w:after="360"/>
        <w:rPr>
          <w:rFonts w:asciiTheme="majorHAnsi" w:hAnsiTheme="majorHAnsi" w:cstheme="majorHAnsi"/>
          <w:sz w:val="24"/>
          <w:szCs w:val="24"/>
          <w:lang w:eastAsia="pt-BR"/>
        </w:rPr>
      </w:pPr>
      <w:proofErr w:type="gramStart"/>
      <w:r w:rsidRPr="00227ABF">
        <w:rPr>
          <w:rFonts w:asciiTheme="majorHAnsi" w:hAnsiTheme="majorHAnsi" w:cstheme="majorHAnsi"/>
          <w:sz w:val="24"/>
          <w:szCs w:val="24"/>
          <w:lang w:eastAsia="pt-BR"/>
        </w:rPr>
        <w:t>(</w:t>
      </w:r>
      <w:r w:rsidR="00C849D4">
        <w:rPr>
          <w:rFonts w:asciiTheme="majorHAnsi" w:hAnsiTheme="majorHAnsi" w:cstheme="majorHAnsi"/>
          <w:sz w:val="24"/>
          <w:szCs w:val="24"/>
          <w:lang w:eastAsia="pt-BR"/>
        </w:rPr>
        <w:t xml:space="preserve"> </w:t>
      </w:r>
      <w:r w:rsidR="00C849D4">
        <w:rPr>
          <w:rFonts w:asciiTheme="majorHAnsi" w:hAnsiTheme="majorHAnsi" w:cstheme="majorHAnsi"/>
          <w:b/>
          <w:bCs/>
          <w:sz w:val="24"/>
          <w:szCs w:val="24"/>
          <w:u w:val="single"/>
          <w:lang w:eastAsia="pt-BR"/>
        </w:rPr>
        <w:t>X</w:t>
      </w:r>
      <w:proofErr w:type="gramEnd"/>
      <w:r w:rsidR="00C849D4">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FO</w:t>
      </w:r>
      <w:r>
        <w:rPr>
          <w:rFonts w:asciiTheme="majorHAnsi" w:hAnsiTheme="majorHAnsi" w:cstheme="majorHAnsi"/>
          <w:sz w:val="24"/>
          <w:szCs w:val="24"/>
          <w:lang w:eastAsia="pt-BR"/>
        </w:rPr>
        <w:t>I observada a ordem prioritária dos parâmetros do art. 23, § 2º, da Lei n. 14.133, de 2021</w:t>
      </w:r>
      <w:r w:rsidR="00BB7361">
        <w:rPr>
          <w:rFonts w:asciiTheme="majorHAnsi" w:hAnsiTheme="majorHAnsi" w:cstheme="majorHAnsi"/>
          <w:sz w:val="24"/>
          <w:szCs w:val="24"/>
          <w:lang w:eastAsia="pt-BR"/>
        </w:rPr>
        <w:t>, cuja observância é OBRIGATÓRIA quando a obra/serviço for custeada por recursos da União (art. 23, § 3º, da Lei n.º 14.133, de 2021)</w:t>
      </w:r>
      <w:r>
        <w:rPr>
          <w:rFonts w:asciiTheme="majorHAnsi" w:hAnsiTheme="majorHAnsi" w:cstheme="majorHAnsi"/>
          <w:sz w:val="24"/>
          <w:szCs w:val="24"/>
          <w:lang w:eastAsia="pt-BR"/>
        </w:rPr>
        <w:t>;</w:t>
      </w:r>
    </w:p>
    <w:p w14:paraId="2B0D845F" w14:textId="5281F2D3" w:rsidR="00854BE1" w:rsidRPr="00227ABF" w:rsidRDefault="00C849D4" w:rsidP="00854BE1">
      <w:pPr>
        <w:pStyle w:val="Normal-TJTR"/>
        <w:spacing w:after="360"/>
        <w:rPr>
          <w:rFonts w:asciiTheme="majorHAnsi" w:hAnsiTheme="majorHAnsi" w:cstheme="majorHAnsi"/>
          <w:sz w:val="24"/>
          <w:szCs w:val="24"/>
          <w:lang w:eastAsia="pt-BR"/>
        </w:rPr>
      </w:pPr>
      <w:proofErr w:type="gramStart"/>
      <w:r w:rsidRPr="00227ABF">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Pr>
          <w:rFonts w:asciiTheme="majorHAnsi" w:hAnsiTheme="majorHAnsi" w:cstheme="majorHAnsi"/>
          <w:b/>
          <w:bCs/>
          <w:sz w:val="24"/>
          <w:szCs w:val="24"/>
          <w:u w:val="single"/>
          <w:lang w:eastAsia="pt-BR"/>
        </w:rPr>
        <w:t>X</w:t>
      </w:r>
      <w:proofErr w:type="gramEnd"/>
      <w:r>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xml:space="preserve">) </w:t>
      </w:r>
      <w:r w:rsidR="00854BE1">
        <w:rPr>
          <w:rFonts w:asciiTheme="majorHAnsi" w:hAnsiTheme="majorHAnsi" w:cstheme="majorHAnsi"/>
          <w:sz w:val="24"/>
          <w:szCs w:val="24"/>
          <w:lang w:eastAsia="pt-BR"/>
        </w:rPr>
        <w:t>FO</w:t>
      </w:r>
      <w:r w:rsidR="00854BE1" w:rsidRPr="00227ABF">
        <w:rPr>
          <w:rFonts w:asciiTheme="majorHAnsi" w:hAnsiTheme="majorHAnsi" w:cstheme="majorHAnsi"/>
          <w:sz w:val="24"/>
          <w:szCs w:val="24"/>
          <w:lang w:eastAsia="pt-BR"/>
        </w:rPr>
        <w:t xml:space="preserve">RAM adotados custos unitários menores ou iguais </w:t>
      </w:r>
      <w:r w:rsidR="00F31062">
        <w:rPr>
          <w:rFonts w:asciiTheme="majorHAnsi" w:hAnsiTheme="majorHAnsi" w:cstheme="majorHAnsi"/>
          <w:sz w:val="24"/>
          <w:szCs w:val="24"/>
          <w:lang w:eastAsia="pt-BR"/>
        </w:rPr>
        <w:t>a mediana do</w:t>
      </w:r>
      <w:r w:rsidR="00854BE1" w:rsidRPr="00227ABF">
        <w:rPr>
          <w:rFonts w:asciiTheme="majorHAnsi" w:hAnsiTheme="majorHAnsi" w:cstheme="majorHAnsi"/>
          <w:sz w:val="24"/>
          <w:szCs w:val="24"/>
          <w:lang w:eastAsia="pt-BR"/>
        </w:rPr>
        <w:t>s custos unitários de referência do SINAPI, para todos os itens relacionados à construção civil;</w:t>
      </w:r>
    </w:p>
    <w:p w14:paraId="409BFF44" w14:textId="77777777" w:rsidR="00854BE1" w:rsidRPr="00227ABF" w:rsidRDefault="00854BE1" w:rsidP="00854BE1">
      <w:pPr>
        <w:pStyle w:val="Normal-TJTR"/>
        <w:spacing w:after="360"/>
        <w:rPr>
          <w:rFonts w:asciiTheme="majorHAnsi" w:hAnsiTheme="majorHAnsi" w:cstheme="majorHAnsi"/>
          <w:sz w:val="24"/>
          <w:szCs w:val="24"/>
          <w:lang w:eastAsia="pt-BR"/>
        </w:rPr>
      </w:pPr>
      <w:bookmarkStart w:id="15" w:name="_Hlk142404220"/>
      <w:proofErr w:type="gramStart"/>
      <w:r w:rsidRPr="00854BE1">
        <w:rPr>
          <w:rFonts w:asciiTheme="majorHAnsi" w:hAnsiTheme="majorHAnsi" w:cstheme="majorHAnsi"/>
          <w:sz w:val="24"/>
          <w:szCs w:val="24"/>
          <w:lang w:eastAsia="pt-BR"/>
        </w:rPr>
        <w:t xml:space="preserve">(  </w:t>
      </w:r>
      <w:proofErr w:type="gramEnd"/>
      <w:r w:rsidRPr="00854BE1">
        <w:rPr>
          <w:rFonts w:asciiTheme="majorHAnsi" w:hAnsiTheme="majorHAnsi" w:cstheme="majorHAnsi"/>
          <w:sz w:val="24"/>
          <w:szCs w:val="24"/>
          <w:lang w:eastAsia="pt-BR"/>
        </w:rPr>
        <w:t xml:space="preserve">    ) FORAM adotados custos unitários superiores aos custos unitários de referência do SINAPI para determinados itens do orçamento, conforme justificativa do relatório técnico elaborado por profissional habilitado e aprovado pelo órgão gestor dos recursos.</w:t>
      </w:r>
    </w:p>
    <w:bookmarkEnd w:id="15"/>
    <w:p w14:paraId="3B9C9A83" w14:textId="6236534F" w:rsidR="00854BE1" w:rsidRPr="00227ABF" w:rsidRDefault="00854BE1" w:rsidP="00854BE1">
      <w:pPr>
        <w:pStyle w:val="Normal-TJTR"/>
        <w:spacing w:after="360"/>
        <w:rPr>
          <w:rFonts w:asciiTheme="majorHAnsi" w:hAnsiTheme="majorHAnsi" w:cstheme="majorHAnsi"/>
          <w:sz w:val="24"/>
          <w:szCs w:val="24"/>
          <w:lang w:eastAsia="pt-BR"/>
        </w:rPr>
      </w:pPr>
      <w:r w:rsidRPr="00227ABF">
        <w:rPr>
          <w:rFonts w:asciiTheme="majorHAnsi" w:hAnsiTheme="majorHAnsi" w:cstheme="majorHAnsi"/>
          <w:sz w:val="24"/>
          <w:szCs w:val="24"/>
          <w:lang w:eastAsia="pt-BR"/>
        </w:rPr>
        <w:t xml:space="preserve">No orçamento da presente obra ou serviço, para os itens não contemplados no SINAPI, </w:t>
      </w:r>
      <w:r>
        <w:rPr>
          <w:rFonts w:asciiTheme="majorHAnsi" w:hAnsiTheme="majorHAnsi" w:cstheme="majorHAnsi"/>
          <w:sz w:val="24"/>
          <w:szCs w:val="24"/>
          <w:lang w:eastAsia="pt-BR"/>
        </w:rPr>
        <w:br/>
      </w:r>
      <w:r w:rsidR="00C849D4" w:rsidRPr="00227ABF">
        <w:rPr>
          <w:rFonts w:asciiTheme="majorHAnsi" w:hAnsiTheme="majorHAnsi" w:cstheme="majorHAnsi"/>
          <w:sz w:val="24"/>
          <w:szCs w:val="24"/>
          <w:lang w:eastAsia="pt-BR"/>
        </w:rPr>
        <w:t>(</w:t>
      </w:r>
      <w:r w:rsidR="00F60FFE">
        <w:rPr>
          <w:rFonts w:asciiTheme="majorHAnsi" w:hAnsiTheme="majorHAnsi" w:cstheme="majorHAnsi"/>
          <w:sz w:val="24"/>
          <w:szCs w:val="24"/>
          <w:lang w:eastAsia="pt-BR"/>
        </w:rPr>
        <w:t xml:space="preserve"> </w:t>
      </w:r>
      <w:r w:rsidR="00F60FFE">
        <w:rPr>
          <w:rFonts w:asciiTheme="majorHAnsi" w:hAnsiTheme="majorHAnsi" w:cstheme="majorHAnsi"/>
          <w:b/>
          <w:bCs/>
          <w:sz w:val="24"/>
          <w:szCs w:val="24"/>
          <w:u w:val="single"/>
          <w:lang w:eastAsia="pt-BR"/>
        </w:rPr>
        <w:t>X</w:t>
      </w:r>
      <w:r w:rsidR="00F60FFE">
        <w:rPr>
          <w:rFonts w:asciiTheme="majorHAnsi" w:hAnsiTheme="majorHAnsi" w:cstheme="majorHAnsi"/>
          <w:b/>
          <w:bCs/>
          <w:sz w:val="24"/>
          <w:szCs w:val="24"/>
          <w:lang w:eastAsia="pt-BR"/>
        </w:rPr>
        <w:t xml:space="preserve"> </w:t>
      </w:r>
      <w:r w:rsidR="00C849D4" w:rsidRPr="00227ABF">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xml:space="preserve">FORAM adotados custos obtidos das seguintes fontes admitidas no </w:t>
      </w:r>
      <w:r w:rsidRPr="007C755E">
        <w:rPr>
          <w:rFonts w:asciiTheme="majorHAnsi" w:hAnsiTheme="majorHAnsi" w:cstheme="majorHAnsi"/>
          <w:sz w:val="24"/>
          <w:szCs w:val="24"/>
          <w:lang w:eastAsia="pt-BR"/>
        </w:rPr>
        <w:t>art. 23, § 2º, da Lei n. 14.133, de 2021</w:t>
      </w:r>
      <w:r>
        <w:rPr>
          <w:rFonts w:asciiTheme="majorHAnsi" w:hAnsiTheme="majorHAnsi" w:cstheme="majorHAnsi"/>
          <w:sz w:val="24"/>
          <w:szCs w:val="24"/>
          <w:lang w:eastAsia="pt-BR"/>
        </w:rPr>
        <w:t>, observada a ordem de prioridades nele estabelecida</w:t>
      </w:r>
      <w:r w:rsidRPr="00227ABF">
        <w:rPr>
          <w:rFonts w:asciiTheme="majorHAnsi" w:hAnsiTheme="majorHAnsi" w:cstheme="majorHAnsi"/>
          <w:sz w:val="24"/>
          <w:szCs w:val="24"/>
          <w:lang w:eastAsia="pt-BR"/>
        </w:rPr>
        <w:t>:</w:t>
      </w:r>
    </w:p>
    <w:p w14:paraId="01E06005" w14:textId="01995AF7" w:rsidR="00854BE1" w:rsidRPr="00227ABF" w:rsidRDefault="00C849D4" w:rsidP="00854BE1">
      <w:pPr>
        <w:pStyle w:val="Normal-TJTR"/>
        <w:spacing w:after="360"/>
        <w:rPr>
          <w:rFonts w:asciiTheme="majorHAnsi" w:hAnsiTheme="majorHAnsi" w:cstheme="majorHAnsi"/>
          <w:sz w:val="24"/>
          <w:szCs w:val="24"/>
          <w:lang w:eastAsia="pt-BR"/>
        </w:rPr>
      </w:pPr>
      <w:proofErr w:type="gramStart"/>
      <w:r w:rsidRPr="00227ABF">
        <w:rPr>
          <w:rFonts w:asciiTheme="majorHAnsi" w:hAnsiTheme="majorHAnsi" w:cstheme="majorHAnsi"/>
          <w:sz w:val="24"/>
          <w:szCs w:val="24"/>
          <w:lang w:eastAsia="pt-BR"/>
        </w:rPr>
        <w:lastRenderedPageBreak/>
        <w:t>(</w:t>
      </w:r>
      <w:r w:rsidR="00F60FFE">
        <w:rPr>
          <w:rFonts w:asciiTheme="majorHAnsi" w:hAnsiTheme="majorHAnsi" w:cstheme="majorHAnsi"/>
          <w:sz w:val="24"/>
          <w:szCs w:val="24"/>
          <w:lang w:eastAsia="pt-BR"/>
        </w:rPr>
        <w:t xml:space="preserve"> </w:t>
      </w:r>
      <w:r w:rsidR="00F60FFE">
        <w:rPr>
          <w:rFonts w:asciiTheme="majorHAnsi" w:hAnsiTheme="majorHAnsi" w:cstheme="majorHAnsi"/>
          <w:b/>
          <w:bCs/>
          <w:sz w:val="24"/>
          <w:szCs w:val="24"/>
          <w:u w:val="single"/>
          <w:lang w:eastAsia="pt-BR"/>
        </w:rPr>
        <w:t>X</w:t>
      </w:r>
      <w:proofErr w:type="gramEnd"/>
      <w:r w:rsidR="00F60FFE">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xml:space="preserve">) </w:t>
      </w:r>
      <w:r w:rsidR="00854BE1" w:rsidRPr="000138F3">
        <w:rPr>
          <w:rFonts w:asciiTheme="majorHAnsi" w:hAnsiTheme="majorHAnsi" w:cstheme="majorHAnsi"/>
          <w:sz w:val="24"/>
          <w:szCs w:val="24"/>
          <w:lang w:eastAsia="pt-BR"/>
        </w:rPr>
        <w:t>utilização de dados de pesquisa publicada em mídia especializada, de tabela de referência formalmente aprovada pelo Poder Executivo federal e de sítios eletrônicos especializados ou de domínio amplo, desde que contenham a data e a hora de acesso</w:t>
      </w:r>
      <w:r w:rsidR="00854BE1">
        <w:rPr>
          <w:rFonts w:asciiTheme="majorHAnsi" w:hAnsiTheme="majorHAnsi" w:cstheme="majorHAnsi"/>
          <w:sz w:val="24"/>
          <w:szCs w:val="24"/>
          <w:lang w:eastAsia="pt-BR"/>
        </w:rPr>
        <w:t xml:space="preserve"> </w:t>
      </w:r>
      <w:r w:rsidR="00854BE1" w:rsidRPr="00227ABF">
        <w:rPr>
          <w:rFonts w:asciiTheme="majorHAnsi" w:hAnsiTheme="majorHAnsi" w:cstheme="majorHAnsi"/>
          <w:sz w:val="24"/>
          <w:szCs w:val="24"/>
          <w:lang w:eastAsia="pt-BR"/>
        </w:rPr>
        <w:t>(</w:t>
      </w:r>
      <w:r w:rsidR="00854BE1" w:rsidRPr="000138F3">
        <w:rPr>
          <w:rFonts w:asciiTheme="majorHAnsi" w:hAnsiTheme="majorHAnsi" w:cstheme="majorHAnsi"/>
          <w:i/>
          <w:sz w:val="24"/>
          <w:szCs w:val="24"/>
          <w:lang w:eastAsia="pt-BR"/>
        </w:rPr>
        <w:t>citar as fontes e justificar a pertinência técnica da opção</w:t>
      </w:r>
      <w:r w:rsidR="00854BE1" w:rsidRPr="00227ABF">
        <w:rPr>
          <w:rFonts w:asciiTheme="majorHAnsi" w:hAnsiTheme="majorHAnsi" w:cstheme="majorHAnsi"/>
          <w:sz w:val="24"/>
          <w:szCs w:val="24"/>
          <w:lang w:eastAsia="pt-BR"/>
        </w:rPr>
        <w:t xml:space="preserve">): </w:t>
      </w:r>
    </w:p>
    <w:p w14:paraId="17D05DC9" w14:textId="67F4360C" w:rsidR="00854BE1" w:rsidRPr="00C849D4" w:rsidRDefault="00C849D4" w:rsidP="00854BE1">
      <w:pPr>
        <w:pStyle w:val="Normal-TJTR"/>
        <w:spacing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OS CUSTOS UNITÁRIO</w:t>
      </w:r>
      <w:r w:rsidR="00F60FFE">
        <w:rPr>
          <w:rFonts w:asciiTheme="majorHAnsi" w:hAnsiTheme="majorHAnsi" w:cstheme="majorHAnsi"/>
          <w:b/>
          <w:bCs/>
          <w:sz w:val="24"/>
          <w:szCs w:val="24"/>
          <w:u w:val="single"/>
          <w:lang w:eastAsia="pt-BR"/>
        </w:rPr>
        <w:t>S</w:t>
      </w:r>
      <w:r>
        <w:rPr>
          <w:rFonts w:asciiTheme="majorHAnsi" w:hAnsiTheme="majorHAnsi" w:cstheme="majorHAnsi"/>
          <w:b/>
          <w:bCs/>
          <w:sz w:val="24"/>
          <w:szCs w:val="24"/>
          <w:u w:val="single"/>
          <w:lang w:eastAsia="pt-BR"/>
        </w:rPr>
        <w:t xml:space="preserve"> FORAM EXTRAÍDOS DA SINAPI (PARANÁ) </w:t>
      </w:r>
      <w:r w:rsidR="00241966">
        <w:rPr>
          <w:rFonts w:asciiTheme="majorHAnsi" w:hAnsiTheme="majorHAnsi" w:cstheme="majorHAnsi"/>
          <w:b/>
          <w:bCs/>
          <w:sz w:val="24"/>
          <w:szCs w:val="24"/>
          <w:u w:val="single"/>
          <w:lang w:eastAsia="pt-BR"/>
        </w:rPr>
        <w:t xml:space="preserve">JUNHO, </w:t>
      </w:r>
      <w:r w:rsidR="00F60FFE">
        <w:rPr>
          <w:rFonts w:asciiTheme="majorHAnsi" w:hAnsiTheme="majorHAnsi" w:cstheme="majorHAnsi"/>
          <w:b/>
          <w:bCs/>
          <w:sz w:val="24"/>
          <w:szCs w:val="24"/>
          <w:u w:val="single"/>
          <w:lang w:eastAsia="pt-BR"/>
        </w:rPr>
        <w:t xml:space="preserve">ORSE </w:t>
      </w:r>
      <w:r w:rsidR="00241966">
        <w:rPr>
          <w:rFonts w:asciiTheme="majorHAnsi" w:hAnsiTheme="majorHAnsi" w:cstheme="majorHAnsi"/>
          <w:b/>
          <w:bCs/>
          <w:sz w:val="24"/>
          <w:szCs w:val="24"/>
          <w:u w:val="single"/>
          <w:lang w:eastAsia="pt-BR"/>
        </w:rPr>
        <w:t>JUNHO</w:t>
      </w:r>
      <w:r w:rsidR="00F60FFE">
        <w:rPr>
          <w:rFonts w:asciiTheme="majorHAnsi" w:hAnsiTheme="majorHAnsi" w:cstheme="majorHAnsi"/>
          <w:b/>
          <w:bCs/>
          <w:sz w:val="24"/>
          <w:szCs w:val="24"/>
          <w:u w:val="single"/>
          <w:lang w:eastAsia="pt-BR"/>
        </w:rPr>
        <w:t xml:space="preserve"> 24</w:t>
      </w:r>
      <w:r w:rsidR="00241966">
        <w:rPr>
          <w:rFonts w:asciiTheme="majorHAnsi" w:hAnsiTheme="majorHAnsi" w:cstheme="majorHAnsi"/>
          <w:b/>
          <w:bCs/>
          <w:sz w:val="24"/>
          <w:szCs w:val="24"/>
          <w:u w:val="single"/>
          <w:lang w:eastAsia="pt-BR"/>
        </w:rPr>
        <w:t xml:space="preserve"> E </w:t>
      </w:r>
      <w:r w:rsidR="00BA3E68">
        <w:rPr>
          <w:rFonts w:asciiTheme="majorHAnsi" w:hAnsiTheme="majorHAnsi" w:cstheme="majorHAnsi"/>
          <w:b/>
          <w:bCs/>
          <w:sz w:val="24"/>
          <w:szCs w:val="24"/>
          <w:u w:val="single"/>
          <w:lang w:eastAsia="pt-BR"/>
        </w:rPr>
        <w:t>BASE NACIONAL DE NOTAS FISCAIS.</w:t>
      </w:r>
    </w:p>
    <w:p w14:paraId="2FAAA3D1" w14:textId="77777777" w:rsidR="00854BE1" w:rsidRPr="00227ABF" w:rsidRDefault="00854BE1" w:rsidP="00854BE1">
      <w:pPr>
        <w:pStyle w:val="Normal-TJTR"/>
        <w:spacing w:after="360"/>
        <w:rPr>
          <w:rFonts w:asciiTheme="majorHAnsi" w:hAnsiTheme="majorHAnsi" w:cstheme="majorHAnsi"/>
          <w:sz w:val="24"/>
          <w:szCs w:val="24"/>
          <w:lang w:eastAsia="pt-BR"/>
        </w:rPr>
      </w:pPr>
      <w:proofErr w:type="gramStart"/>
      <w:r w:rsidRPr="00227ABF">
        <w:rPr>
          <w:rFonts w:asciiTheme="majorHAnsi" w:hAnsiTheme="majorHAnsi" w:cstheme="majorHAnsi"/>
          <w:sz w:val="24"/>
          <w:szCs w:val="24"/>
          <w:lang w:eastAsia="pt-BR"/>
        </w:rPr>
        <w:t>(  )</w:t>
      </w:r>
      <w:proofErr w:type="gramEnd"/>
      <w:r w:rsidRPr="00227ABF">
        <w:rPr>
          <w:rFonts w:asciiTheme="majorHAnsi" w:hAnsiTheme="majorHAnsi" w:cstheme="majorHAnsi"/>
          <w:sz w:val="24"/>
          <w:szCs w:val="24"/>
          <w:lang w:eastAsia="pt-BR"/>
        </w:rPr>
        <w:t xml:space="preserve"> contratações similares feitas pela Administração Pública, em execução ou concluídas no período de 1 (um) ano anterior à data da pesquisa de preços, observado o índice de atualização de preços correspondentes, sob a seguinte justificativa (</w:t>
      </w:r>
      <w:r w:rsidRPr="000138F3">
        <w:rPr>
          <w:rFonts w:asciiTheme="majorHAnsi" w:hAnsiTheme="majorHAnsi" w:cstheme="majorHAnsi"/>
          <w:i/>
          <w:sz w:val="24"/>
          <w:szCs w:val="24"/>
          <w:lang w:eastAsia="pt-BR"/>
        </w:rPr>
        <w:t>citar as fontes, justificar metodologia e juntar a pesquisa aos autos</w:t>
      </w:r>
      <w:r w:rsidRPr="00227ABF">
        <w:rPr>
          <w:rFonts w:asciiTheme="majorHAnsi" w:hAnsiTheme="majorHAnsi" w:cstheme="majorHAnsi"/>
          <w:sz w:val="24"/>
          <w:szCs w:val="24"/>
          <w:lang w:eastAsia="pt-BR"/>
        </w:rPr>
        <w:t>):</w:t>
      </w:r>
    </w:p>
    <w:p w14:paraId="5187601C" w14:textId="77777777" w:rsidR="00BA3E68" w:rsidRPr="00C849D4" w:rsidRDefault="00BA3E68" w:rsidP="00BA3E68">
      <w:pPr>
        <w:pStyle w:val="Normal-TJTR"/>
        <w:spacing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OS CUSTOS UNITÁRIOS FORAM EXTRAÍDOS DA SINAPI (PARANÁ) JUNHO, ORSE JUNHO 24 E BASE NACIONAL DE NOTAS FISCAIS.</w:t>
      </w:r>
    </w:p>
    <w:p w14:paraId="0A50C8C1" w14:textId="2BC936BD" w:rsidR="00854BE1" w:rsidRPr="00227ABF" w:rsidRDefault="00854BE1" w:rsidP="00854BE1">
      <w:pPr>
        <w:pStyle w:val="Normal-TJTR"/>
        <w:spacing w:after="360"/>
        <w:rPr>
          <w:rFonts w:asciiTheme="majorHAnsi" w:hAnsiTheme="majorHAnsi" w:cstheme="majorHAnsi"/>
          <w:sz w:val="24"/>
          <w:szCs w:val="24"/>
          <w:lang w:eastAsia="pt-BR"/>
        </w:rPr>
      </w:pPr>
      <w:proofErr w:type="gramStart"/>
      <w:r w:rsidRPr="00227ABF">
        <w:rPr>
          <w:rFonts w:asciiTheme="majorHAnsi" w:hAnsiTheme="majorHAnsi" w:cstheme="majorHAnsi"/>
          <w:sz w:val="24"/>
          <w:szCs w:val="24"/>
          <w:lang w:eastAsia="pt-BR"/>
        </w:rPr>
        <w:t>(</w:t>
      </w:r>
      <w:r w:rsidR="00BA3E68">
        <w:rPr>
          <w:rFonts w:asciiTheme="majorHAnsi" w:hAnsiTheme="majorHAnsi" w:cstheme="majorHAnsi"/>
          <w:sz w:val="24"/>
          <w:szCs w:val="24"/>
          <w:lang w:eastAsia="pt-BR"/>
        </w:rPr>
        <w:t xml:space="preserve"> </w:t>
      </w:r>
      <w:r w:rsidR="00BA3E68">
        <w:rPr>
          <w:rFonts w:asciiTheme="majorHAnsi" w:hAnsiTheme="majorHAnsi" w:cstheme="majorHAnsi"/>
          <w:b/>
          <w:bCs/>
          <w:sz w:val="24"/>
          <w:szCs w:val="24"/>
          <w:u w:val="single"/>
          <w:lang w:eastAsia="pt-BR"/>
        </w:rPr>
        <w:t>X</w:t>
      </w:r>
      <w:proofErr w:type="gramEnd"/>
      <w:r w:rsidRPr="00227ABF">
        <w:rPr>
          <w:rFonts w:asciiTheme="majorHAnsi" w:hAnsiTheme="majorHAnsi" w:cstheme="majorHAnsi"/>
          <w:sz w:val="24"/>
          <w:szCs w:val="24"/>
          <w:lang w:eastAsia="pt-BR"/>
        </w:rPr>
        <w:t xml:space="preserve"> ) pesquisa na base nacional de notas fiscais eletrônicas, </w:t>
      </w:r>
      <w:r>
        <w:rPr>
          <w:rFonts w:asciiTheme="majorHAnsi" w:hAnsiTheme="majorHAnsi" w:cstheme="majorHAnsi"/>
          <w:sz w:val="24"/>
          <w:szCs w:val="24"/>
          <w:lang w:eastAsia="pt-BR"/>
        </w:rPr>
        <w:t>na forma do regulament</w:t>
      </w:r>
      <w:r w:rsidR="0071257D">
        <w:rPr>
          <w:rFonts w:asciiTheme="majorHAnsi" w:hAnsiTheme="majorHAnsi" w:cstheme="majorHAnsi"/>
          <w:sz w:val="24"/>
          <w:szCs w:val="24"/>
          <w:lang w:eastAsia="pt-BR"/>
        </w:rPr>
        <w:t>o</w:t>
      </w:r>
      <w:r>
        <w:rPr>
          <w:rFonts w:asciiTheme="majorHAnsi" w:hAnsiTheme="majorHAnsi" w:cstheme="majorHAnsi"/>
          <w:sz w:val="24"/>
          <w:szCs w:val="24"/>
          <w:lang w:eastAsia="pt-BR"/>
        </w:rPr>
        <w:t xml:space="preserve"> (</w:t>
      </w:r>
      <w:r w:rsidRPr="00E05C6B">
        <w:rPr>
          <w:rFonts w:asciiTheme="majorHAnsi" w:hAnsiTheme="majorHAnsi" w:cstheme="majorHAnsi"/>
          <w:i/>
          <w:sz w:val="24"/>
          <w:szCs w:val="24"/>
          <w:lang w:eastAsia="pt-BR"/>
        </w:rPr>
        <w:t>apresentar justificativa e documentar</w:t>
      </w:r>
      <w:r>
        <w:rPr>
          <w:rFonts w:asciiTheme="majorHAnsi" w:hAnsiTheme="majorHAnsi" w:cstheme="majorHAnsi"/>
          <w:i/>
          <w:sz w:val="24"/>
          <w:szCs w:val="24"/>
          <w:lang w:eastAsia="pt-BR"/>
        </w:rPr>
        <w:t xml:space="preserve"> a pesquisa</w:t>
      </w:r>
      <w:r w:rsidRPr="00E05C6B">
        <w:rPr>
          <w:rFonts w:asciiTheme="majorHAnsi" w:hAnsiTheme="majorHAnsi" w:cstheme="majorHAnsi"/>
          <w:i/>
          <w:sz w:val="24"/>
          <w:szCs w:val="24"/>
          <w:lang w:eastAsia="pt-BR"/>
        </w:rPr>
        <w:t xml:space="preserve"> nos autos</w:t>
      </w:r>
      <w:r>
        <w:rPr>
          <w:rFonts w:asciiTheme="majorHAnsi" w:hAnsiTheme="majorHAnsi" w:cstheme="majorHAnsi"/>
          <w:sz w:val="24"/>
          <w:szCs w:val="24"/>
          <w:lang w:eastAsia="pt-BR"/>
        </w:rPr>
        <w:t>)</w:t>
      </w:r>
    </w:p>
    <w:p w14:paraId="4F1BAE58" w14:textId="186F644C" w:rsidR="008D102A" w:rsidRPr="00C849D4" w:rsidRDefault="00BA3E68" w:rsidP="008D102A">
      <w:pPr>
        <w:pStyle w:val="Normal-TJTR"/>
        <w:spacing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FOI EXTRAÍDO DA BASE NACIONAL DE NOTAS FISCAIS O PREÇO MATERIA</w:t>
      </w:r>
      <w:r w:rsidR="00A86D69">
        <w:rPr>
          <w:rFonts w:asciiTheme="majorHAnsi" w:hAnsiTheme="majorHAnsi" w:cstheme="majorHAnsi"/>
          <w:b/>
          <w:bCs/>
          <w:sz w:val="24"/>
          <w:szCs w:val="24"/>
          <w:u w:val="single"/>
          <w:lang w:eastAsia="pt-BR"/>
        </w:rPr>
        <w:t>IAS</w:t>
      </w:r>
      <w:r>
        <w:rPr>
          <w:rFonts w:asciiTheme="majorHAnsi" w:hAnsiTheme="majorHAnsi" w:cstheme="majorHAnsi"/>
          <w:b/>
          <w:bCs/>
          <w:sz w:val="24"/>
          <w:szCs w:val="24"/>
          <w:u w:val="single"/>
          <w:lang w:eastAsia="pt-BR"/>
        </w:rPr>
        <w:t xml:space="preserve"> NECESSÁRIO</w:t>
      </w:r>
      <w:r w:rsidR="00A86D69">
        <w:rPr>
          <w:rFonts w:asciiTheme="majorHAnsi" w:hAnsiTheme="majorHAnsi" w:cstheme="majorHAnsi"/>
          <w:b/>
          <w:bCs/>
          <w:sz w:val="24"/>
          <w:szCs w:val="24"/>
          <w:u w:val="single"/>
          <w:lang w:eastAsia="pt-BR"/>
        </w:rPr>
        <w:t>S</w:t>
      </w:r>
      <w:r>
        <w:rPr>
          <w:rFonts w:asciiTheme="majorHAnsi" w:hAnsiTheme="majorHAnsi" w:cstheme="majorHAnsi"/>
          <w:b/>
          <w:bCs/>
          <w:sz w:val="24"/>
          <w:szCs w:val="24"/>
          <w:u w:val="single"/>
          <w:lang w:eastAsia="pt-BR"/>
        </w:rPr>
        <w:t xml:space="preserve"> PARA EXECUÇÃO DA OBRA, </w:t>
      </w:r>
      <w:r w:rsidR="00A86D69">
        <w:rPr>
          <w:rFonts w:asciiTheme="majorHAnsi" w:hAnsiTheme="majorHAnsi" w:cstheme="majorHAnsi"/>
          <w:b/>
          <w:bCs/>
          <w:sz w:val="24"/>
          <w:szCs w:val="24"/>
          <w:u w:val="single"/>
          <w:lang w:eastAsia="pt-BR"/>
        </w:rPr>
        <w:t>QUAIS</w:t>
      </w:r>
      <w:r>
        <w:rPr>
          <w:rFonts w:asciiTheme="majorHAnsi" w:hAnsiTheme="majorHAnsi" w:cstheme="majorHAnsi"/>
          <w:b/>
          <w:bCs/>
          <w:sz w:val="24"/>
          <w:szCs w:val="24"/>
          <w:u w:val="single"/>
          <w:lang w:eastAsia="pt-BR"/>
        </w:rPr>
        <w:t xml:space="preserve"> NÃO FORA</w:t>
      </w:r>
      <w:r w:rsidR="00A86D69">
        <w:rPr>
          <w:rFonts w:asciiTheme="majorHAnsi" w:hAnsiTheme="majorHAnsi" w:cstheme="majorHAnsi"/>
          <w:b/>
          <w:bCs/>
          <w:sz w:val="24"/>
          <w:szCs w:val="24"/>
          <w:u w:val="single"/>
          <w:lang w:eastAsia="pt-BR"/>
        </w:rPr>
        <w:t>M</w:t>
      </w:r>
      <w:r>
        <w:rPr>
          <w:rFonts w:asciiTheme="majorHAnsi" w:hAnsiTheme="majorHAnsi" w:cstheme="majorHAnsi"/>
          <w:b/>
          <w:bCs/>
          <w:sz w:val="24"/>
          <w:szCs w:val="24"/>
          <w:u w:val="single"/>
          <w:lang w:eastAsia="pt-BR"/>
        </w:rPr>
        <w:t xml:space="preserve"> ENCONTRADO</w:t>
      </w:r>
      <w:r w:rsidR="00A86D69">
        <w:rPr>
          <w:rFonts w:asciiTheme="majorHAnsi" w:hAnsiTheme="majorHAnsi" w:cstheme="majorHAnsi"/>
          <w:b/>
          <w:bCs/>
          <w:sz w:val="24"/>
          <w:szCs w:val="24"/>
          <w:u w:val="single"/>
          <w:lang w:eastAsia="pt-BR"/>
        </w:rPr>
        <w:t>S</w:t>
      </w:r>
      <w:r>
        <w:rPr>
          <w:rFonts w:asciiTheme="majorHAnsi" w:hAnsiTheme="majorHAnsi" w:cstheme="majorHAnsi"/>
          <w:b/>
          <w:bCs/>
          <w:sz w:val="24"/>
          <w:szCs w:val="24"/>
          <w:u w:val="single"/>
          <w:lang w:eastAsia="pt-BR"/>
        </w:rPr>
        <w:t xml:space="preserve"> NA SINAPI E ORSE.</w:t>
      </w:r>
    </w:p>
    <w:p w14:paraId="2091105C" w14:textId="27E16792" w:rsidR="00DC7BBD" w:rsidRDefault="001E704A"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4" w:history="1">
        <w:r w:rsidR="00DC7BBD" w:rsidRPr="00804DDD">
          <w:rPr>
            <w:rStyle w:val="Hyperlink"/>
            <w:rFonts w:asciiTheme="majorHAnsi" w:hAnsiTheme="majorHAnsi" w:cstheme="majorHAnsi"/>
            <w:sz w:val="24"/>
            <w:szCs w:val="24"/>
          </w:rPr>
          <w:t>Vide</w:t>
        </w:r>
        <w:r w:rsidR="00804DDD" w:rsidRPr="00804DDD">
          <w:rPr>
            <w:rStyle w:val="Hyperlink"/>
            <w:rFonts w:asciiTheme="majorHAnsi" w:hAnsiTheme="majorHAnsi" w:cstheme="majorHAnsi"/>
            <w:sz w:val="24"/>
            <w:szCs w:val="24"/>
          </w:rPr>
          <w:t xml:space="preserve"> Nota Explicativa n. 4</w:t>
        </w:r>
        <w:r w:rsidR="00DC7BBD" w:rsidRPr="00804DDD">
          <w:rPr>
            <w:rStyle w:val="Hyperlink"/>
            <w:rFonts w:asciiTheme="majorHAnsi" w:hAnsiTheme="majorHAnsi" w:cstheme="majorHAnsi"/>
            <w:sz w:val="24"/>
            <w:szCs w:val="24"/>
          </w:rPr>
          <w:t>.</w:t>
        </w:r>
      </w:hyperlink>
    </w:p>
    <w:p w14:paraId="188D5DFB" w14:textId="77777777" w:rsidR="00BE754F" w:rsidRPr="00C000A1" w:rsidRDefault="00BE754F"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70AE730E" w14:textId="34764AD3" w:rsidR="00F56A97" w:rsidRPr="00C000A1" w:rsidRDefault="008440D0" w:rsidP="00533725">
      <w:pPr>
        <w:pStyle w:val="TJTRSubTT"/>
        <w:shd w:val="clear" w:color="auto" w:fill="D9D9D9" w:themeFill="background1" w:themeFillShade="D9"/>
        <w:spacing w:before="0" w:after="360"/>
        <w:ind w:left="0" w:firstLine="0"/>
        <w:rPr>
          <w:rFonts w:cstheme="majorHAnsi"/>
          <w:szCs w:val="24"/>
        </w:rPr>
      </w:pPr>
      <w:bookmarkStart w:id="16" w:name="_Toc142556188"/>
      <w:bookmarkStart w:id="17" w:name="nt_5_retorno"/>
      <w:r>
        <w:rPr>
          <w:rFonts w:cstheme="majorHAnsi"/>
          <w:caps w:val="0"/>
          <w:szCs w:val="24"/>
        </w:rPr>
        <w:t xml:space="preserve">ORÇAMENTO DETALHADO EM PLANILHAS </w:t>
      </w:r>
      <w:r w:rsidR="006014BF" w:rsidRPr="00C000A1">
        <w:rPr>
          <w:rFonts w:cstheme="majorHAnsi"/>
          <w:caps w:val="0"/>
          <w:szCs w:val="24"/>
        </w:rPr>
        <w:t>D</w:t>
      </w:r>
      <w:r>
        <w:rPr>
          <w:rFonts w:cstheme="majorHAnsi"/>
          <w:caps w:val="0"/>
          <w:szCs w:val="24"/>
        </w:rPr>
        <w:t>E</w:t>
      </w:r>
      <w:r w:rsidR="006014BF" w:rsidRPr="00C000A1">
        <w:rPr>
          <w:rFonts w:cstheme="majorHAnsi"/>
          <w:caps w:val="0"/>
          <w:szCs w:val="24"/>
        </w:rPr>
        <w:t xml:space="preserve"> CUSTOS UNITÁRIOS</w:t>
      </w:r>
      <w:bookmarkEnd w:id="16"/>
    </w:p>
    <w:bookmarkEnd w:id="17"/>
    <w:p w14:paraId="69AA242D" w14:textId="77777777" w:rsidR="008440D0" w:rsidRDefault="008440D0" w:rsidP="008440D0">
      <w:pPr>
        <w:pStyle w:val="Normal-TJTR"/>
        <w:spacing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No orçamento da presente obra ou serviço</w:t>
      </w:r>
      <w:r>
        <w:rPr>
          <w:rFonts w:asciiTheme="majorHAnsi" w:hAnsiTheme="majorHAnsi" w:cstheme="majorHAnsi"/>
          <w:sz w:val="24"/>
          <w:szCs w:val="24"/>
          <w:lang w:eastAsia="pt-BR"/>
        </w:rPr>
        <w:t>:</w:t>
      </w:r>
    </w:p>
    <w:p w14:paraId="3F3AB002" w14:textId="67A1A96B" w:rsidR="008440D0" w:rsidRPr="00227ABF" w:rsidRDefault="008A052D" w:rsidP="008440D0">
      <w:pPr>
        <w:pStyle w:val="Normal-TJTR"/>
        <w:spacing w:after="360"/>
        <w:rPr>
          <w:rFonts w:asciiTheme="majorHAnsi" w:hAnsiTheme="majorHAnsi" w:cstheme="majorHAnsi"/>
          <w:sz w:val="24"/>
          <w:szCs w:val="24"/>
          <w:lang w:eastAsia="pt-BR"/>
        </w:rPr>
      </w:pPr>
      <w:proofErr w:type="gramStart"/>
      <w:r w:rsidRPr="00227ABF">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Pr>
          <w:rFonts w:asciiTheme="majorHAnsi" w:hAnsiTheme="majorHAnsi" w:cstheme="majorHAnsi"/>
          <w:b/>
          <w:bCs/>
          <w:sz w:val="24"/>
          <w:szCs w:val="24"/>
          <w:u w:val="single"/>
          <w:lang w:eastAsia="pt-BR"/>
        </w:rPr>
        <w:t>X</w:t>
      </w:r>
      <w:proofErr w:type="gramEnd"/>
      <w:r>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xml:space="preserve">) </w:t>
      </w:r>
      <w:r w:rsidR="008440D0" w:rsidRPr="00227ABF">
        <w:rPr>
          <w:rFonts w:asciiTheme="majorHAnsi" w:hAnsiTheme="majorHAnsi" w:cstheme="majorHAnsi"/>
          <w:sz w:val="24"/>
          <w:szCs w:val="24"/>
          <w:lang w:eastAsia="pt-BR"/>
        </w:rPr>
        <w:t xml:space="preserve">foi/foram juntadas a(s) </w:t>
      </w:r>
      <w:r w:rsidR="00F2426F" w:rsidRPr="00227ABF">
        <w:rPr>
          <w:rFonts w:asciiTheme="majorHAnsi" w:hAnsiTheme="majorHAnsi" w:cstheme="majorHAnsi"/>
          <w:sz w:val="24"/>
          <w:szCs w:val="24"/>
          <w:lang w:eastAsia="pt-BR"/>
        </w:rPr>
        <w:t>(</w:t>
      </w:r>
      <w:r w:rsidR="00F2426F">
        <w:rPr>
          <w:rFonts w:asciiTheme="majorHAnsi" w:hAnsiTheme="majorHAnsi" w:cstheme="majorHAnsi"/>
          <w:sz w:val="24"/>
          <w:szCs w:val="24"/>
          <w:lang w:eastAsia="pt-BR"/>
        </w:rPr>
        <w:t xml:space="preserve"> </w:t>
      </w:r>
      <w:r w:rsidR="00F2426F">
        <w:rPr>
          <w:rFonts w:asciiTheme="majorHAnsi" w:hAnsiTheme="majorHAnsi" w:cstheme="majorHAnsi"/>
          <w:b/>
          <w:bCs/>
          <w:sz w:val="24"/>
          <w:szCs w:val="24"/>
          <w:u w:val="single"/>
          <w:lang w:eastAsia="pt-BR"/>
        </w:rPr>
        <w:t>X</w:t>
      </w:r>
      <w:r w:rsidR="00F2426F">
        <w:rPr>
          <w:rFonts w:asciiTheme="majorHAnsi" w:hAnsiTheme="majorHAnsi" w:cstheme="majorHAnsi"/>
          <w:sz w:val="24"/>
          <w:szCs w:val="24"/>
          <w:lang w:eastAsia="pt-BR"/>
        </w:rPr>
        <w:t xml:space="preserve"> </w:t>
      </w:r>
      <w:r w:rsidR="00F2426F" w:rsidRPr="00227ABF">
        <w:rPr>
          <w:rFonts w:asciiTheme="majorHAnsi" w:hAnsiTheme="majorHAnsi" w:cstheme="majorHAnsi"/>
          <w:sz w:val="24"/>
          <w:szCs w:val="24"/>
          <w:lang w:eastAsia="pt-BR"/>
        </w:rPr>
        <w:t xml:space="preserve">) </w:t>
      </w:r>
      <w:r w:rsidR="008440D0" w:rsidRPr="00227ABF">
        <w:rPr>
          <w:rFonts w:asciiTheme="majorHAnsi" w:hAnsiTheme="majorHAnsi" w:cstheme="majorHAnsi"/>
          <w:sz w:val="24"/>
          <w:szCs w:val="24"/>
          <w:lang w:eastAsia="pt-BR"/>
        </w:rPr>
        <w:t xml:space="preserve">planilha(s) sintética(s) e a(s) (   ) planilha(s) analítica(s) </w:t>
      </w:r>
    </w:p>
    <w:p w14:paraId="497F1883" w14:textId="4EDD4537" w:rsidR="008440D0" w:rsidRPr="00227ABF" w:rsidRDefault="00F2426F" w:rsidP="008440D0">
      <w:pPr>
        <w:pStyle w:val="Normal-TJTR"/>
        <w:spacing w:after="360"/>
        <w:rPr>
          <w:rFonts w:asciiTheme="majorHAnsi" w:hAnsiTheme="majorHAnsi" w:cstheme="majorHAnsi"/>
          <w:sz w:val="24"/>
          <w:szCs w:val="24"/>
          <w:lang w:eastAsia="pt-BR"/>
        </w:rPr>
      </w:pPr>
      <w:proofErr w:type="gramStart"/>
      <w:r w:rsidRPr="00227ABF">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Pr>
          <w:rFonts w:asciiTheme="majorHAnsi" w:hAnsiTheme="majorHAnsi" w:cstheme="majorHAnsi"/>
          <w:b/>
          <w:bCs/>
          <w:sz w:val="24"/>
          <w:szCs w:val="24"/>
          <w:u w:val="single"/>
          <w:lang w:eastAsia="pt-BR"/>
        </w:rPr>
        <w:t>X</w:t>
      </w:r>
      <w:proofErr w:type="gramEnd"/>
      <w:r>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xml:space="preserve">) </w:t>
      </w:r>
      <w:r w:rsidR="008440D0" w:rsidRPr="00227ABF">
        <w:rPr>
          <w:rFonts w:asciiTheme="majorHAnsi" w:hAnsiTheme="majorHAnsi" w:cstheme="majorHAnsi"/>
          <w:sz w:val="24"/>
          <w:szCs w:val="24"/>
          <w:lang w:eastAsia="pt-BR"/>
        </w:rPr>
        <w:t xml:space="preserve">NÃO foi/foram juntadas a(s) (    ) planilha(s) sintética(s) e a(s) </w:t>
      </w:r>
      <w:r w:rsidRPr="00227ABF">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Pr>
          <w:rFonts w:asciiTheme="majorHAnsi" w:hAnsiTheme="majorHAnsi" w:cstheme="majorHAnsi"/>
          <w:b/>
          <w:bCs/>
          <w:sz w:val="24"/>
          <w:szCs w:val="24"/>
          <w:u w:val="single"/>
          <w:lang w:eastAsia="pt-BR"/>
        </w:rPr>
        <w:t>X</w:t>
      </w:r>
      <w:r>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xml:space="preserve">) </w:t>
      </w:r>
      <w:r w:rsidR="008440D0" w:rsidRPr="00227ABF">
        <w:rPr>
          <w:rFonts w:asciiTheme="majorHAnsi" w:hAnsiTheme="majorHAnsi" w:cstheme="majorHAnsi"/>
          <w:sz w:val="24"/>
          <w:szCs w:val="24"/>
          <w:lang w:eastAsia="pt-BR"/>
        </w:rPr>
        <w:t xml:space="preserve">planilha(s) analítica(s). </w:t>
      </w:r>
    </w:p>
    <w:p w14:paraId="2BDC46FD" w14:textId="77777777" w:rsidR="008440D0" w:rsidRPr="00227ABF" w:rsidRDefault="008440D0" w:rsidP="008440D0">
      <w:pPr>
        <w:pStyle w:val="Normal-TJTR"/>
        <w:spacing w:after="360"/>
        <w:rPr>
          <w:rFonts w:asciiTheme="majorHAnsi" w:hAnsiTheme="majorHAnsi" w:cstheme="majorHAnsi"/>
          <w:sz w:val="24"/>
          <w:szCs w:val="24"/>
          <w:lang w:eastAsia="pt-BR"/>
        </w:rPr>
      </w:pPr>
      <w:r w:rsidRPr="00227ABF">
        <w:rPr>
          <w:rFonts w:asciiTheme="majorHAnsi" w:hAnsiTheme="majorHAnsi" w:cstheme="majorHAnsi"/>
          <w:sz w:val="24"/>
          <w:szCs w:val="24"/>
          <w:lang w:eastAsia="pt-BR"/>
        </w:rPr>
        <w:t>O documento de responsabilidade técnica relativo às planilhas orçamentárias:</w:t>
      </w:r>
    </w:p>
    <w:p w14:paraId="3C9C12E1" w14:textId="55F191B4" w:rsidR="008440D0" w:rsidRPr="00227ABF" w:rsidRDefault="00F2426F" w:rsidP="008440D0">
      <w:pPr>
        <w:pStyle w:val="Normal-TJTR"/>
        <w:spacing w:after="360"/>
        <w:rPr>
          <w:rFonts w:asciiTheme="majorHAnsi" w:hAnsiTheme="majorHAnsi" w:cstheme="majorHAnsi"/>
          <w:sz w:val="24"/>
          <w:szCs w:val="24"/>
          <w:lang w:eastAsia="pt-BR"/>
        </w:rPr>
      </w:pPr>
      <w:proofErr w:type="gramStart"/>
      <w:r w:rsidRPr="00227ABF">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Pr>
          <w:rFonts w:asciiTheme="majorHAnsi" w:hAnsiTheme="majorHAnsi" w:cstheme="majorHAnsi"/>
          <w:b/>
          <w:bCs/>
          <w:sz w:val="24"/>
          <w:szCs w:val="24"/>
          <w:u w:val="single"/>
          <w:lang w:eastAsia="pt-BR"/>
        </w:rPr>
        <w:t>X</w:t>
      </w:r>
      <w:proofErr w:type="gramEnd"/>
      <w:r>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xml:space="preserve">) </w:t>
      </w:r>
      <w:r w:rsidR="008440D0" w:rsidRPr="00227ABF">
        <w:rPr>
          <w:rFonts w:asciiTheme="majorHAnsi" w:hAnsiTheme="majorHAnsi" w:cstheme="majorHAnsi"/>
          <w:sz w:val="24"/>
          <w:szCs w:val="24"/>
          <w:lang w:eastAsia="pt-BR"/>
        </w:rPr>
        <w:t xml:space="preserve">consta nos autos. </w:t>
      </w:r>
    </w:p>
    <w:p w14:paraId="4A8D19B4" w14:textId="77777777" w:rsidR="008440D0" w:rsidRPr="00227ABF" w:rsidRDefault="008440D0" w:rsidP="008440D0">
      <w:pPr>
        <w:pStyle w:val="Normal-TJTR"/>
        <w:spacing w:after="360"/>
        <w:rPr>
          <w:rFonts w:asciiTheme="majorHAnsi" w:hAnsiTheme="majorHAnsi" w:cstheme="majorHAnsi"/>
          <w:sz w:val="24"/>
          <w:szCs w:val="24"/>
          <w:lang w:eastAsia="pt-BR"/>
        </w:rPr>
      </w:pPr>
      <w:proofErr w:type="gramStart"/>
      <w:r w:rsidRPr="00227ABF">
        <w:rPr>
          <w:rFonts w:asciiTheme="majorHAnsi" w:hAnsiTheme="majorHAnsi" w:cstheme="majorHAnsi"/>
          <w:sz w:val="24"/>
          <w:szCs w:val="24"/>
          <w:lang w:eastAsia="pt-BR"/>
        </w:rPr>
        <w:t xml:space="preserve">(  </w:t>
      </w:r>
      <w:proofErr w:type="gramEnd"/>
      <w:r w:rsidRPr="00227ABF">
        <w:rPr>
          <w:rFonts w:asciiTheme="majorHAnsi" w:hAnsiTheme="majorHAnsi" w:cstheme="majorHAnsi"/>
          <w:sz w:val="24"/>
          <w:szCs w:val="24"/>
          <w:lang w:eastAsia="pt-BR"/>
        </w:rPr>
        <w:t xml:space="preserve">    )  NÃO consta nos autos. </w:t>
      </w:r>
    </w:p>
    <w:p w14:paraId="221FF1AC" w14:textId="77777777" w:rsidR="008440D0" w:rsidRPr="00227ABF" w:rsidRDefault="008440D0" w:rsidP="008440D0">
      <w:pPr>
        <w:pStyle w:val="Normal-TJTR"/>
        <w:spacing w:after="360"/>
        <w:rPr>
          <w:rFonts w:asciiTheme="majorHAnsi" w:hAnsiTheme="majorHAnsi" w:cstheme="majorHAnsi"/>
          <w:sz w:val="24"/>
          <w:szCs w:val="24"/>
          <w:lang w:eastAsia="pt-BR"/>
        </w:rPr>
      </w:pPr>
      <w:r w:rsidRPr="00227ABF">
        <w:rPr>
          <w:rFonts w:asciiTheme="majorHAnsi" w:hAnsiTheme="majorHAnsi" w:cstheme="majorHAnsi"/>
          <w:sz w:val="24"/>
          <w:szCs w:val="24"/>
          <w:lang w:eastAsia="pt-BR"/>
        </w:rPr>
        <w:t>Na presente licitação:</w:t>
      </w:r>
    </w:p>
    <w:p w14:paraId="3E8720D0" w14:textId="594FBFA3" w:rsidR="008440D0" w:rsidRPr="00227ABF" w:rsidRDefault="00AB1D88" w:rsidP="008440D0">
      <w:pPr>
        <w:pStyle w:val="Normal-TJTR"/>
        <w:spacing w:after="360"/>
        <w:rPr>
          <w:rFonts w:asciiTheme="majorHAnsi" w:hAnsiTheme="majorHAnsi" w:cstheme="majorHAnsi"/>
          <w:sz w:val="24"/>
          <w:szCs w:val="24"/>
          <w:lang w:eastAsia="pt-BR"/>
        </w:rPr>
      </w:pPr>
      <w:proofErr w:type="gramStart"/>
      <w:r w:rsidRPr="00227ABF">
        <w:rPr>
          <w:rFonts w:asciiTheme="majorHAnsi" w:hAnsiTheme="majorHAnsi" w:cstheme="majorHAnsi"/>
          <w:sz w:val="24"/>
          <w:szCs w:val="24"/>
          <w:lang w:eastAsia="pt-BR"/>
        </w:rPr>
        <w:lastRenderedPageBreak/>
        <w:t>(</w:t>
      </w:r>
      <w:r>
        <w:rPr>
          <w:rFonts w:asciiTheme="majorHAnsi" w:hAnsiTheme="majorHAnsi" w:cstheme="majorHAnsi"/>
          <w:sz w:val="24"/>
          <w:szCs w:val="24"/>
          <w:lang w:eastAsia="pt-BR"/>
        </w:rPr>
        <w:t xml:space="preserve"> </w:t>
      </w:r>
      <w:r>
        <w:rPr>
          <w:rFonts w:asciiTheme="majorHAnsi" w:hAnsiTheme="majorHAnsi" w:cstheme="majorHAnsi"/>
          <w:b/>
          <w:bCs/>
          <w:sz w:val="24"/>
          <w:szCs w:val="24"/>
          <w:u w:val="single"/>
          <w:lang w:eastAsia="pt-BR"/>
        </w:rPr>
        <w:t>X</w:t>
      </w:r>
      <w:proofErr w:type="gramEnd"/>
      <w:r>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xml:space="preserve">) </w:t>
      </w:r>
      <w:r w:rsidR="008440D0" w:rsidRPr="00227ABF">
        <w:rPr>
          <w:rFonts w:asciiTheme="majorHAnsi" w:hAnsiTheme="majorHAnsi" w:cstheme="majorHAnsi"/>
          <w:sz w:val="24"/>
          <w:szCs w:val="24"/>
          <w:lang w:eastAsia="pt-BR"/>
        </w:rPr>
        <w:t>foi/foram utilizada(s) a(s) tabela(s) de referência mais atualizada(s).</w:t>
      </w:r>
    </w:p>
    <w:p w14:paraId="02EE8DD4" w14:textId="021E9CAA" w:rsidR="00A15C6E" w:rsidRPr="00C000A1" w:rsidRDefault="00F2426F" w:rsidP="008440D0">
      <w:pPr>
        <w:pStyle w:val="Normal-TJTR"/>
        <w:spacing w:after="360"/>
        <w:rPr>
          <w:rFonts w:asciiTheme="majorHAnsi" w:hAnsiTheme="majorHAnsi" w:cstheme="majorHAnsi"/>
          <w:sz w:val="24"/>
          <w:szCs w:val="24"/>
          <w:lang w:eastAsia="pt-BR"/>
        </w:rPr>
      </w:pPr>
      <w:proofErr w:type="gramStart"/>
      <w:r w:rsidRPr="00227ABF">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sidR="00AB1D88">
        <w:rPr>
          <w:rFonts w:asciiTheme="majorHAnsi" w:hAnsiTheme="majorHAnsi" w:cstheme="majorHAnsi"/>
          <w:b/>
          <w:bCs/>
          <w:sz w:val="24"/>
          <w:szCs w:val="24"/>
          <w:lang w:eastAsia="pt-BR"/>
        </w:rPr>
        <w:t xml:space="preserve"> </w:t>
      </w:r>
      <w:proofErr w:type="gramEnd"/>
      <w:r>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xml:space="preserve">) </w:t>
      </w:r>
      <w:r w:rsidR="008440D0" w:rsidRPr="00227ABF">
        <w:rPr>
          <w:rFonts w:asciiTheme="majorHAnsi" w:hAnsiTheme="majorHAnsi" w:cstheme="majorHAnsi"/>
          <w:sz w:val="24"/>
          <w:szCs w:val="24"/>
          <w:lang w:eastAsia="pt-BR"/>
        </w:rPr>
        <w:t>NÃO foi/foram utilizada(s) a(s) tabela(s) de referência mais atualizada(s).</w:t>
      </w:r>
    </w:p>
    <w:p w14:paraId="330F7363" w14:textId="2142C6B8" w:rsidR="00E27197" w:rsidRDefault="001E704A" w:rsidP="00C000A1">
      <w:pPr>
        <w:pStyle w:val="TextoAGU"/>
        <w:numPr>
          <w:ilvl w:val="0"/>
          <w:numId w:val="0"/>
        </w:numPr>
        <w:tabs>
          <w:tab w:val="clear" w:pos="1418"/>
        </w:tabs>
        <w:spacing w:before="0" w:after="360"/>
        <w:rPr>
          <w:rStyle w:val="Hyperlink"/>
          <w:rFonts w:asciiTheme="majorHAnsi" w:hAnsiTheme="majorHAnsi" w:cstheme="majorHAnsi"/>
          <w:sz w:val="24"/>
          <w:szCs w:val="24"/>
        </w:rPr>
      </w:pPr>
      <w:hyperlink w:anchor="nt_5" w:history="1">
        <w:r w:rsidR="00DC7BBD" w:rsidRPr="004D4EB9">
          <w:rPr>
            <w:rStyle w:val="Hyperlink"/>
            <w:rFonts w:asciiTheme="majorHAnsi" w:hAnsiTheme="majorHAnsi" w:cstheme="majorHAnsi"/>
            <w:sz w:val="24"/>
            <w:szCs w:val="24"/>
          </w:rPr>
          <w:t xml:space="preserve">Vide </w:t>
        </w:r>
        <w:r w:rsidR="004D4EB9" w:rsidRPr="004D4EB9">
          <w:rPr>
            <w:rStyle w:val="Hyperlink"/>
            <w:rFonts w:asciiTheme="majorHAnsi" w:hAnsiTheme="majorHAnsi" w:cstheme="majorHAnsi"/>
            <w:sz w:val="24"/>
            <w:szCs w:val="24"/>
          </w:rPr>
          <w:t>Nota Explicativa n. 5.</w:t>
        </w:r>
      </w:hyperlink>
    </w:p>
    <w:p w14:paraId="4D3C2A34" w14:textId="68D91341" w:rsidR="00210028"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18" w:name="_Toc142556189"/>
      <w:bookmarkStart w:id="19" w:name="nt_6_retorno"/>
      <w:r w:rsidRPr="00C000A1">
        <w:rPr>
          <w:rFonts w:cstheme="majorHAnsi"/>
          <w:caps w:val="0"/>
          <w:szCs w:val="24"/>
        </w:rPr>
        <w:t>ELABORAÇÃO DAS COMPOSIÇÕES DE CUSTOS UNITÁRIOS</w:t>
      </w:r>
      <w:bookmarkEnd w:id="18"/>
    </w:p>
    <w:bookmarkEnd w:id="19"/>
    <w:p w14:paraId="1DA9743F" w14:textId="339A0C01" w:rsidR="00BD2F7A" w:rsidRPr="00C000A1" w:rsidRDefault="00BD2F7A" w:rsidP="00C000A1">
      <w:pPr>
        <w:pStyle w:val="Normal-TJTR"/>
        <w:spacing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No orçamento de referência da presente licitação:</w:t>
      </w:r>
    </w:p>
    <w:p w14:paraId="0815CC94" w14:textId="4C70B7E9" w:rsidR="0020544E" w:rsidRDefault="0020544E" w:rsidP="00C000A1">
      <w:pPr>
        <w:pStyle w:val="Normal-TJTR"/>
        <w:spacing w:after="360"/>
        <w:rPr>
          <w:rFonts w:asciiTheme="majorHAnsi" w:hAnsiTheme="majorHAnsi" w:cstheme="majorHAnsi"/>
          <w:sz w:val="24"/>
          <w:szCs w:val="24"/>
          <w:lang w:eastAsia="pt-BR"/>
        </w:rPr>
      </w:pPr>
      <w:proofErr w:type="gramStart"/>
      <w:r>
        <w:rPr>
          <w:rFonts w:asciiTheme="majorHAnsi" w:hAnsiTheme="majorHAnsi" w:cstheme="majorHAnsi"/>
          <w:sz w:val="24"/>
          <w:szCs w:val="24"/>
          <w:lang w:eastAsia="pt-BR"/>
        </w:rPr>
        <w:t>(</w:t>
      </w:r>
      <w:r w:rsidR="002B7255">
        <w:rPr>
          <w:rFonts w:asciiTheme="majorHAnsi" w:hAnsiTheme="majorHAnsi" w:cstheme="majorHAnsi"/>
          <w:sz w:val="24"/>
          <w:szCs w:val="24"/>
          <w:lang w:eastAsia="pt-BR"/>
        </w:rPr>
        <w:t xml:space="preserve"> </w:t>
      </w:r>
      <w:r w:rsidR="002B7255">
        <w:rPr>
          <w:rFonts w:asciiTheme="majorHAnsi" w:hAnsiTheme="majorHAnsi" w:cstheme="majorHAnsi"/>
          <w:b/>
          <w:bCs/>
          <w:sz w:val="24"/>
          <w:szCs w:val="24"/>
          <w:u w:val="single"/>
          <w:lang w:eastAsia="pt-BR"/>
        </w:rPr>
        <w:t>X</w:t>
      </w:r>
      <w:proofErr w:type="gramEnd"/>
      <w:r w:rsidR="002B7255">
        <w:rPr>
          <w:rFonts w:asciiTheme="majorHAnsi" w:hAnsiTheme="majorHAnsi" w:cstheme="majorHAnsi"/>
          <w:sz w:val="24"/>
          <w:szCs w:val="24"/>
          <w:lang w:eastAsia="pt-BR"/>
        </w:rPr>
        <w:t xml:space="preserve"> </w:t>
      </w:r>
      <w:r>
        <w:rPr>
          <w:rFonts w:asciiTheme="majorHAnsi" w:hAnsiTheme="majorHAnsi" w:cstheme="majorHAnsi"/>
          <w:sz w:val="24"/>
          <w:szCs w:val="24"/>
          <w:lang w:eastAsia="pt-BR"/>
        </w:rPr>
        <w:t xml:space="preserve">) fora utilizada a </w:t>
      </w:r>
      <w:r w:rsidRPr="0020544E">
        <w:rPr>
          <w:rFonts w:asciiTheme="majorHAnsi" w:hAnsiTheme="majorHAnsi" w:cstheme="majorHAnsi"/>
          <w:sz w:val="24"/>
          <w:szCs w:val="24"/>
          <w:lang w:eastAsia="pt-BR"/>
        </w:rPr>
        <w:t>Tabela de Referência adotada pelo órgão ou entidade licitante</w:t>
      </w:r>
      <w:r>
        <w:rPr>
          <w:rFonts w:asciiTheme="majorHAnsi" w:hAnsiTheme="majorHAnsi" w:cstheme="majorHAnsi"/>
          <w:sz w:val="24"/>
          <w:szCs w:val="24"/>
          <w:lang w:eastAsia="pt-BR"/>
        </w:rPr>
        <w:t>, uma vez que não se trata de obra/serviço custeado por recursos da União</w:t>
      </w:r>
      <w:r w:rsidR="008F7DCC">
        <w:rPr>
          <w:rFonts w:asciiTheme="majorHAnsi" w:hAnsiTheme="majorHAnsi" w:cstheme="majorHAnsi"/>
          <w:sz w:val="24"/>
          <w:szCs w:val="24"/>
          <w:lang w:eastAsia="pt-BR"/>
        </w:rPr>
        <w:t xml:space="preserve"> (</w:t>
      </w:r>
      <w:r w:rsidR="008F7DCC" w:rsidRPr="008F7DCC">
        <w:rPr>
          <w:rFonts w:asciiTheme="majorHAnsi" w:hAnsiTheme="majorHAnsi" w:cstheme="majorHAnsi"/>
          <w:sz w:val="24"/>
          <w:szCs w:val="24"/>
          <w:lang w:eastAsia="pt-BR"/>
        </w:rPr>
        <w:t>art. 23, § 3º, da Lei n.º 14.133, de 2021</w:t>
      </w:r>
      <w:r w:rsidR="008F7DCC">
        <w:rPr>
          <w:rFonts w:asciiTheme="majorHAnsi" w:hAnsiTheme="majorHAnsi" w:cstheme="majorHAnsi"/>
          <w:sz w:val="24"/>
          <w:szCs w:val="24"/>
          <w:lang w:eastAsia="pt-BR"/>
        </w:rPr>
        <w:t>)</w:t>
      </w:r>
      <w:r>
        <w:rPr>
          <w:rFonts w:asciiTheme="majorHAnsi" w:hAnsiTheme="majorHAnsi" w:cstheme="majorHAnsi"/>
          <w:sz w:val="24"/>
          <w:szCs w:val="24"/>
          <w:lang w:eastAsia="pt-BR"/>
        </w:rPr>
        <w:t>;</w:t>
      </w:r>
    </w:p>
    <w:p w14:paraId="08DD64B0" w14:textId="7035894A" w:rsidR="00BD2F7A" w:rsidRPr="00C000A1" w:rsidRDefault="006171D3" w:rsidP="00C000A1">
      <w:pPr>
        <w:pStyle w:val="Normal-TJTR"/>
        <w:spacing w:after="360"/>
        <w:rPr>
          <w:rFonts w:asciiTheme="majorHAnsi" w:hAnsiTheme="majorHAnsi" w:cstheme="majorHAnsi"/>
          <w:sz w:val="24"/>
          <w:szCs w:val="24"/>
          <w:lang w:eastAsia="pt-BR"/>
        </w:rPr>
      </w:pPr>
      <w:proofErr w:type="gramStart"/>
      <w:r w:rsidRPr="00227ABF">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w:t>
      </w:r>
      <w:proofErr w:type="gramEnd"/>
      <w:r w:rsidRPr="00227ABF">
        <w:rPr>
          <w:rFonts w:asciiTheme="majorHAnsi" w:hAnsiTheme="majorHAnsi" w:cstheme="majorHAnsi"/>
          <w:sz w:val="24"/>
          <w:szCs w:val="24"/>
          <w:lang w:eastAsia="pt-BR"/>
        </w:rPr>
        <w:t xml:space="preserve"> </w:t>
      </w:r>
      <w:r w:rsidR="00BD2F7A" w:rsidRPr="00C000A1">
        <w:rPr>
          <w:rFonts w:asciiTheme="majorHAnsi" w:hAnsiTheme="majorHAnsi" w:cstheme="majorHAnsi"/>
          <w:sz w:val="24"/>
          <w:szCs w:val="24"/>
          <w:lang w:eastAsia="pt-BR"/>
        </w:rPr>
        <w:t xml:space="preserve">foram adotadas </w:t>
      </w:r>
      <w:r w:rsidR="00BD2F7A" w:rsidRPr="00C000A1">
        <w:rPr>
          <w:rFonts w:asciiTheme="majorHAnsi" w:hAnsiTheme="majorHAnsi" w:cstheme="majorHAnsi"/>
          <w:b/>
          <w:sz w:val="24"/>
          <w:szCs w:val="24"/>
          <w:lang w:eastAsia="pt-BR"/>
        </w:rPr>
        <w:t>apenas</w:t>
      </w:r>
      <w:r w:rsidR="00BD2F7A" w:rsidRPr="00C000A1">
        <w:rPr>
          <w:rFonts w:asciiTheme="majorHAnsi" w:hAnsiTheme="majorHAnsi" w:cstheme="majorHAnsi"/>
          <w:sz w:val="24"/>
          <w:szCs w:val="24"/>
          <w:lang w:eastAsia="pt-BR"/>
        </w:rPr>
        <w:t xml:space="preserve"> composições de custos unitários oriundas do </w:t>
      </w:r>
      <w:r w:rsidR="00BD2F7A" w:rsidRPr="00C000A1">
        <w:rPr>
          <w:rFonts w:asciiTheme="majorHAnsi" w:hAnsiTheme="majorHAnsi" w:cstheme="majorHAnsi"/>
          <w:b/>
          <w:sz w:val="24"/>
          <w:szCs w:val="24"/>
          <w:lang w:eastAsia="pt-BR"/>
        </w:rPr>
        <w:t>SINAPI</w:t>
      </w:r>
      <w:r w:rsidR="00BD2F7A" w:rsidRPr="00C000A1">
        <w:rPr>
          <w:rFonts w:asciiTheme="majorHAnsi" w:hAnsiTheme="majorHAnsi" w:cstheme="majorHAnsi"/>
          <w:sz w:val="24"/>
          <w:szCs w:val="24"/>
          <w:lang w:eastAsia="pt-BR"/>
        </w:rPr>
        <w:t xml:space="preserve">, </w:t>
      </w:r>
      <w:r w:rsidR="00BD2F7A" w:rsidRPr="00C000A1">
        <w:rPr>
          <w:rFonts w:asciiTheme="majorHAnsi" w:hAnsiTheme="majorHAnsi" w:cstheme="majorHAnsi"/>
          <w:b/>
          <w:sz w:val="24"/>
          <w:szCs w:val="24"/>
          <w:lang w:eastAsia="pt-BR"/>
        </w:rPr>
        <w:t>sem</w:t>
      </w:r>
      <w:r w:rsidR="00BD2F7A" w:rsidRPr="00C000A1">
        <w:rPr>
          <w:rFonts w:asciiTheme="majorHAnsi" w:hAnsiTheme="majorHAnsi" w:cstheme="majorHAnsi"/>
          <w:sz w:val="24"/>
          <w:szCs w:val="24"/>
          <w:lang w:eastAsia="pt-BR"/>
        </w:rPr>
        <w:t xml:space="preserve"> adaptações;</w:t>
      </w:r>
    </w:p>
    <w:p w14:paraId="211D6D85" w14:textId="04A44D15" w:rsidR="00EE5D58" w:rsidRPr="00C000A1" w:rsidRDefault="00F2426F" w:rsidP="00EE5D58">
      <w:pPr>
        <w:pStyle w:val="Normal-TJTR"/>
        <w:spacing w:after="360"/>
        <w:rPr>
          <w:rFonts w:asciiTheme="majorHAnsi" w:hAnsiTheme="majorHAnsi" w:cstheme="majorHAnsi"/>
          <w:sz w:val="24"/>
          <w:szCs w:val="24"/>
          <w:lang w:eastAsia="pt-BR"/>
        </w:rPr>
      </w:pPr>
      <w:proofErr w:type="gramStart"/>
      <w:r w:rsidRPr="00227ABF">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w:t>
      </w:r>
      <w:proofErr w:type="gramEnd"/>
      <w:r w:rsidRPr="00227ABF">
        <w:rPr>
          <w:rFonts w:asciiTheme="majorHAnsi" w:hAnsiTheme="majorHAnsi" w:cstheme="majorHAnsi"/>
          <w:sz w:val="24"/>
          <w:szCs w:val="24"/>
          <w:lang w:eastAsia="pt-BR"/>
        </w:rPr>
        <w:t xml:space="preserve"> </w:t>
      </w:r>
      <w:r w:rsidR="00EE5D58" w:rsidRPr="00EE5D58">
        <w:rPr>
          <w:rFonts w:asciiTheme="majorHAnsi" w:hAnsiTheme="majorHAnsi" w:cstheme="majorHAnsi"/>
          <w:sz w:val="24"/>
          <w:szCs w:val="24"/>
          <w:lang w:eastAsia="pt-BR"/>
        </w:rPr>
        <w:t>foram adotadas composições “</w:t>
      </w:r>
      <w:r w:rsidR="00EE5D58" w:rsidRPr="00EE5D58">
        <w:rPr>
          <w:rFonts w:asciiTheme="majorHAnsi" w:hAnsiTheme="majorHAnsi" w:cstheme="majorHAnsi"/>
          <w:b/>
          <w:sz w:val="24"/>
          <w:szCs w:val="24"/>
          <w:lang w:eastAsia="pt-BR"/>
        </w:rPr>
        <w:t>adaptadas</w:t>
      </w:r>
      <w:r w:rsidR="00EE5D58" w:rsidRPr="00EE5D58">
        <w:rPr>
          <w:rFonts w:asciiTheme="majorHAnsi" w:hAnsiTheme="majorHAnsi" w:cstheme="majorHAnsi"/>
          <w:sz w:val="24"/>
          <w:szCs w:val="24"/>
          <w:lang w:eastAsia="pt-BR"/>
        </w:rPr>
        <w:t xml:space="preserve">” </w:t>
      </w:r>
      <w:r w:rsidR="00EE5D58" w:rsidRPr="00EE5D58">
        <w:rPr>
          <w:rFonts w:asciiTheme="majorHAnsi" w:hAnsiTheme="majorHAnsi" w:cstheme="majorHAnsi"/>
          <w:b/>
          <w:sz w:val="24"/>
          <w:szCs w:val="24"/>
          <w:lang w:eastAsia="pt-BR"/>
        </w:rPr>
        <w:t>do SINAPI</w:t>
      </w:r>
      <w:r w:rsidR="00EE5D58" w:rsidRPr="00EE5D58">
        <w:rPr>
          <w:rFonts w:asciiTheme="majorHAnsi" w:hAnsiTheme="majorHAnsi" w:cstheme="majorHAnsi"/>
          <w:sz w:val="24"/>
          <w:szCs w:val="24"/>
          <w:lang w:eastAsia="pt-BR"/>
        </w:rPr>
        <w:t xml:space="preserve">, nos termos do art. </w:t>
      </w:r>
      <w:r w:rsidR="006E064A">
        <w:rPr>
          <w:rFonts w:asciiTheme="majorHAnsi" w:hAnsiTheme="majorHAnsi" w:cstheme="majorHAnsi"/>
          <w:sz w:val="24"/>
          <w:szCs w:val="24"/>
          <w:lang w:eastAsia="pt-BR"/>
        </w:rPr>
        <w:t xml:space="preserve">12 </w:t>
      </w:r>
      <w:r w:rsidR="00EE5D58" w:rsidRPr="00EE5D58">
        <w:rPr>
          <w:rFonts w:asciiTheme="majorHAnsi" w:hAnsiTheme="majorHAnsi" w:cstheme="majorHAnsi"/>
          <w:sz w:val="24"/>
          <w:szCs w:val="24"/>
          <w:lang w:eastAsia="pt-BR"/>
        </w:rPr>
        <w:t xml:space="preserve">do Decreto </w:t>
      </w:r>
      <w:r w:rsidR="006E064A">
        <w:rPr>
          <w:rFonts w:asciiTheme="majorHAnsi" w:hAnsiTheme="majorHAnsi" w:cstheme="majorHAnsi"/>
          <w:sz w:val="24"/>
          <w:szCs w:val="24"/>
          <w:lang w:eastAsia="pt-BR"/>
        </w:rPr>
        <w:t xml:space="preserve">Municipal </w:t>
      </w:r>
      <w:r w:rsidR="00EE5D58" w:rsidRPr="00EE5D58">
        <w:rPr>
          <w:rFonts w:asciiTheme="majorHAnsi" w:hAnsiTheme="majorHAnsi" w:cstheme="majorHAnsi"/>
          <w:sz w:val="24"/>
          <w:szCs w:val="24"/>
          <w:lang w:eastAsia="pt-BR"/>
        </w:rPr>
        <w:t>n.</w:t>
      </w:r>
      <w:r w:rsidR="006E064A">
        <w:rPr>
          <w:rFonts w:asciiTheme="majorHAnsi" w:hAnsiTheme="majorHAnsi" w:cstheme="majorHAnsi"/>
          <w:sz w:val="24"/>
          <w:szCs w:val="24"/>
          <w:lang w:eastAsia="pt-BR"/>
        </w:rPr>
        <w:t>º</w:t>
      </w:r>
      <w:r w:rsidR="00EE5D58" w:rsidRPr="00EE5D58">
        <w:rPr>
          <w:rFonts w:asciiTheme="majorHAnsi" w:hAnsiTheme="majorHAnsi" w:cstheme="majorHAnsi"/>
          <w:sz w:val="24"/>
          <w:szCs w:val="24"/>
          <w:lang w:eastAsia="pt-BR"/>
        </w:rPr>
        <w:t xml:space="preserve"> </w:t>
      </w:r>
      <w:r w:rsidR="006E064A">
        <w:rPr>
          <w:rFonts w:asciiTheme="majorHAnsi" w:hAnsiTheme="majorHAnsi" w:cstheme="majorHAnsi"/>
          <w:sz w:val="24"/>
          <w:szCs w:val="24"/>
          <w:lang w:eastAsia="pt-BR"/>
        </w:rPr>
        <w:t>036</w:t>
      </w:r>
      <w:r w:rsidR="00EE5D58" w:rsidRPr="00EE5D58">
        <w:rPr>
          <w:rFonts w:asciiTheme="majorHAnsi" w:hAnsiTheme="majorHAnsi" w:cstheme="majorHAnsi"/>
          <w:sz w:val="24"/>
          <w:szCs w:val="24"/>
          <w:lang w:eastAsia="pt-BR"/>
        </w:rPr>
        <w:t>, de 20</w:t>
      </w:r>
      <w:r w:rsidR="006E064A">
        <w:rPr>
          <w:rFonts w:asciiTheme="majorHAnsi" w:hAnsiTheme="majorHAnsi" w:cstheme="majorHAnsi"/>
          <w:sz w:val="24"/>
          <w:szCs w:val="24"/>
          <w:lang w:eastAsia="pt-BR"/>
        </w:rPr>
        <w:t>2</w:t>
      </w:r>
      <w:r w:rsidR="00EE5D58" w:rsidRPr="00EE5D58">
        <w:rPr>
          <w:rFonts w:asciiTheme="majorHAnsi" w:hAnsiTheme="majorHAnsi" w:cstheme="majorHAnsi"/>
          <w:sz w:val="24"/>
          <w:szCs w:val="24"/>
          <w:lang w:eastAsia="pt-BR"/>
        </w:rPr>
        <w:t>3, as quais foram devidamente juntadas aos autos</w:t>
      </w:r>
      <w:r w:rsidR="00EE5D58" w:rsidRPr="00EE5D58">
        <w:rPr>
          <w:rFonts w:asciiTheme="majorHAnsi" w:hAnsiTheme="majorHAnsi" w:cstheme="majorHAnsi"/>
          <w:color w:val="000000"/>
          <w:sz w:val="24"/>
          <w:szCs w:val="24"/>
          <w:lang w:eastAsia="pt-BR"/>
        </w:rPr>
        <w:t xml:space="preserve"> para o conhecimento dos licitantes</w:t>
      </w:r>
      <w:r w:rsidR="00EE5D58" w:rsidRPr="00EE5D58">
        <w:rPr>
          <w:rFonts w:asciiTheme="majorHAnsi" w:hAnsiTheme="majorHAnsi" w:cstheme="majorHAnsi"/>
          <w:sz w:val="24"/>
          <w:szCs w:val="24"/>
          <w:lang w:eastAsia="pt-BR"/>
        </w:rPr>
        <w:t>;</w:t>
      </w:r>
    </w:p>
    <w:p w14:paraId="4C5A6190" w14:textId="7F58B1D5" w:rsidR="00BD2F7A" w:rsidRPr="00C000A1" w:rsidRDefault="006171D3" w:rsidP="00C000A1">
      <w:pPr>
        <w:pStyle w:val="Normal-TJTR"/>
        <w:spacing w:after="360"/>
        <w:rPr>
          <w:rFonts w:asciiTheme="majorHAnsi" w:hAnsiTheme="majorHAnsi" w:cstheme="majorHAnsi"/>
          <w:sz w:val="24"/>
          <w:szCs w:val="24"/>
          <w:lang w:eastAsia="pt-BR"/>
        </w:rPr>
      </w:pPr>
      <w:proofErr w:type="gramStart"/>
      <w:r w:rsidRPr="00227ABF">
        <w:rPr>
          <w:rFonts w:asciiTheme="majorHAnsi" w:hAnsiTheme="majorHAnsi" w:cstheme="majorHAnsi"/>
          <w:sz w:val="24"/>
          <w:szCs w:val="24"/>
          <w:lang w:eastAsia="pt-BR"/>
        </w:rPr>
        <w:t>(</w:t>
      </w:r>
      <w:r w:rsidR="00BA3E68">
        <w:rPr>
          <w:rFonts w:asciiTheme="majorHAnsi" w:hAnsiTheme="majorHAnsi" w:cstheme="majorHAnsi"/>
          <w:sz w:val="24"/>
          <w:szCs w:val="24"/>
          <w:lang w:eastAsia="pt-BR"/>
        </w:rPr>
        <w:t xml:space="preserve"> </w:t>
      </w:r>
      <w:r w:rsidR="00BA3E68">
        <w:rPr>
          <w:rFonts w:asciiTheme="majorHAnsi" w:hAnsiTheme="majorHAnsi" w:cstheme="majorHAnsi"/>
          <w:b/>
          <w:bCs/>
          <w:sz w:val="24"/>
          <w:szCs w:val="24"/>
          <w:u w:val="single"/>
          <w:lang w:eastAsia="pt-BR"/>
        </w:rPr>
        <w:t>X</w:t>
      </w:r>
      <w:proofErr w:type="gramEnd"/>
      <w:r w:rsidR="00BA3E68">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xml:space="preserve">) </w:t>
      </w:r>
      <w:r w:rsidR="00BD2F7A" w:rsidRPr="00C000A1">
        <w:rPr>
          <w:rFonts w:asciiTheme="majorHAnsi" w:hAnsiTheme="majorHAnsi" w:cstheme="majorHAnsi"/>
          <w:sz w:val="24"/>
          <w:szCs w:val="24"/>
          <w:lang w:eastAsia="pt-BR"/>
        </w:rPr>
        <w:t>foram adotadas composições “</w:t>
      </w:r>
      <w:r w:rsidR="00BD2F7A" w:rsidRPr="00C000A1">
        <w:rPr>
          <w:rFonts w:asciiTheme="majorHAnsi" w:hAnsiTheme="majorHAnsi" w:cstheme="majorHAnsi"/>
          <w:b/>
          <w:sz w:val="24"/>
          <w:szCs w:val="24"/>
          <w:lang w:eastAsia="pt-BR"/>
        </w:rPr>
        <w:t>próprias</w:t>
      </w:r>
      <w:r w:rsidR="00BD2F7A" w:rsidRPr="00C000A1">
        <w:rPr>
          <w:rFonts w:asciiTheme="majorHAnsi" w:hAnsiTheme="majorHAnsi" w:cstheme="majorHAnsi"/>
          <w:sz w:val="24"/>
          <w:szCs w:val="24"/>
          <w:lang w:eastAsia="pt-BR"/>
        </w:rPr>
        <w:t xml:space="preserve">”, extraídas de fontes </w:t>
      </w:r>
      <w:proofErr w:type="spellStart"/>
      <w:r w:rsidR="00BD2F7A" w:rsidRPr="00C000A1">
        <w:rPr>
          <w:rFonts w:asciiTheme="majorHAnsi" w:hAnsiTheme="majorHAnsi" w:cstheme="majorHAnsi"/>
          <w:b/>
          <w:sz w:val="24"/>
          <w:szCs w:val="24"/>
          <w:lang w:eastAsia="pt-BR"/>
        </w:rPr>
        <w:t>extra-SINAPI</w:t>
      </w:r>
      <w:proofErr w:type="spellEnd"/>
      <w:r w:rsidR="00BD2F7A" w:rsidRPr="00C000A1">
        <w:rPr>
          <w:rFonts w:asciiTheme="majorHAnsi" w:hAnsiTheme="majorHAnsi" w:cstheme="majorHAnsi"/>
          <w:sz w:val="24"/>
          <w:szCs w:val="24"/>
          <w:lang w:eastAsia="pt-BR"/>
        </w:rPr>
        <w:t xml:space="preserve">, nos termos do </w:t>
      </w:r>
      <w:r w:rsidR="008313DC" w:rsidRPr="008313DC">
        <w:rPr>
          <w:rFonts w:asciiTheme="majorHAnsi" w:hAnsiTheme="majorHAnsi" w:cstheme="majorHAnsi"/>
          <w:sz w:val="24"/>
          <w:szCs w:val="24"/>
          <w:lang w:eastAsia="pt-BR"/>
        </w:rPr>
        <w:t>art. 23, § 2º, da Lei n. 14.133, de 2021</w:t>
      </w:r>
      <w:r w:rsidR="00BD2F7A" w:rsidRPr="00C000A1">
        <w:rPr>
          <w:rFonts w:asciiTheme="majorHAnsi" w:hAnsiTheme="majorHAnsi" w:cstheme="majorHAnsi"/>
          <w:sz w:val="24"/>
          <w:szCs w:val="24"/>
          <w:lang w:eastAsia="pt-BR"/>
        </w:rPr>
        <w:t>, as quais foram devidamente juntadas aos autos</w:t>
      </w:r>
      <w:r w:rsidR="00BD2F7A" w:rsidRPr="00C000A1">
        <w:rPr>
          <w:rFonts w:asciiTheme="majorHAnsi" w:hAnsiTheme="majorHAnsi" w:cstheme="majorHAnsi"/>
          <w:color w:val="000000"/>
          <w:sz w:val="24"/>
          <w:szCs w:val="24"/>
          <w:lang w:eastAsia="pt-BR"/>
        </w:rPr>
        <w:t xml:space="preserve"> para o conhecimento dos licitantes</w:t>
      </w:r>
      <w:r w:rsidR="00D26D84" w:rsidRPr="00C000A1">
        <w:rPr>
          <w:rFonts w:asciiTheme="majorHAnsi" w:hAnsiTheme="majorHAnsi" w:cstheme="majorHAnsi"/>
          <w:sz w:val="24"/>
          <w:szCs w:val="24"/>
          <w:lang w:eastAsia="pt-BR"/>
        </w:rPr>
        <w:t>.</w:t>
      </w:r>
    </w:p>
    <w:p w14:paraId="783BA820" w14:textId="5FD19105" w:rsidR="00DC7BBD" w:rsidRDefault="001E704A" w:rsidP="00C000A1">
      <w:pPr>
        <w:pStyle w:val="TextoAGU"/>
        <w:numPr>
          <w:ilvl w:val="0"/>
          <w:numId w:val="0"/>
        </w:numPr>
        <w:tabs>
          <w:tab w:val="clear" w:pos="1418"/>
        </w:tabs>
        <w:spacing w:before="0" w:after="360"/>
        <w:rPr>
          <w:rStyle w:val="Hyperlink"/>
          <w:rFonts w:asciiTheme="majorHAnsi" w:hAnsiTheme="majorHAnsi" w:cstheme="majorHAnsi"/>
          <w:sz w:val="24"/>
          <w:szCs w:val="24"/>
        </w:rPr>
      </w:pPr>
      <w:hyperlink w:anchor="nt_6" w:history="1">
        <w:r w:rsidR="0068735D" w:rsidRPr="00E04D41">
          <w:rPr>
            <w:rStyle w:val="Hyperlink"/>
            <w:rFonts w:asciiTheme="majorHAnsi" w:hAnsiTheme="majorHAnsi" w:cstheme="majorHAnsi"/>
            <w:sz w:val="24"/>
            <w:szCs w:val="24"/>
          </w:rPr>
          <w:t>Vide Nota Explicativa n. 6.</w:t>
        </w:r>
      </w:hyperlink>
    </w:p>
    <w:p w14:paraId="05B55E7D" w14:textId="77777777" w:rsidR="005D603D" w:rsidRPr="0068735D" w:rsidRDefault="005D603D" w:rsidP="00C000A1">
      <w:pPr>
        <w:pStyle w:val="TextoAGU"/>
        <w:numPr>
          <w:ilvl w:val="0"/>
          <w:numId w:val="0"/>
        </w:numPr>
        <w:tabs>
          <w:tab w:val="clear" w:pos="1418"/>
        </w:tabs>
        <w:spacing w:before="0" w:after="360"/>
        <w:rPr>
          <w:rStyle w:val="Hyperlink"/>
          <w:rFonts w:asciiTheme="majorHAnsi" w:hAnsiTheme="majorHAnsi" w:cstheme="majorHAnsi"/>
          <w:sz w:val="24"/>
          <w:szCs w:val="24"/>
        </w:rPr>
      </w:pPr>
    </w:p>
    <w:p w14:paraId="414CF425" w14:textId="507F29A7" w:rsidR="007E7F32"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20" w:name="_Toc142556190"/>
      <w:bookmarkStart w:id="21" w:name="nt_7_retorno"/>
      <w:r w:rsidRPr="00C000A1">
        <w:rPr>
          <w:rFonts w:cstheme="majorHAnsi"/>
          <w:caps w:val="0"/>
          <w:szCs w:val="24"/>
        </w:rPr>
        <w:t>CUSTOS DIRETOS</w:t>
      </w:r>
      <w:bookmarkEnd w:id="20"/>
    </w:p>
    <w:bookmarkEnd w:id="21"/>
    <w:p w14:paraId="0130374E" w14:textId="53AFA0E7" w:rsidR="002209D3" w:rsidRPr="002209D3" w:rsidRDefault="002209D3" w:rsidP="002209D3">
      <w:pPr>
        <w:spacing w:after="360"/>
        <w:jc w:val="both"/>
        <w:rPr>
          <w:rFonts w:asciiTheme="majorHAnsi" w:hAnsiTheme="majorHAnsi" w:cstheme="majorHAnsi"/>
          <w:sz w:val="24"/>
          <w:szCs w:val="24"/>
          <w:lang w:eastAsia="pt-BR"/>
        </w:rPr>
      </w:pPr>
      <w:r w:rsidRPr="002209D3">
        <w:rPr>
          <w:rFonts w:asciiTheme="majorHAnsi" w:hAnsiTheme="majorHAnsi" w:cstheme="majorHAnsi"/>
          <w:sz w:val="24"/>
          <w:szCs w:val="24"/>
          <w:lang w:eastAsia="pt-BR"/>
        </w:rPr>
        <w:t xml:space="preserve">No orçamento de referência da presente licitação, os custos diretos </w:t>
      </w:r>
      <w:proofErr w:type="gramStart"/>
      <w:r w:rsidRPr="002209D3">
        <w:rPr>
          <w:rFonts w:asciiTheme="majorHAnsi" w:hAnsiTheme="majorHAnsi" w:cstheme="majorHAnsi"/>
          <w:sz w:val="24"/>
          <w:szCs w:val="24"/>
          <w:lang w:eastAsia="pt-BR"/>
        </w:rPr>
        <w:t>(</w:t>
      </w:r>
      <w:r w:rsidR="00A21ABA">
        <w:rPr>
          <w:rFonts w:asciiTheme="majorHAnsi" w:hAnsiTheme="majorHAnsi" w:cstheme="majorHAnsi"/>
          <w:sz w:val="24"/>
          <w:szCs w:val="24"/>
          <w:lang w:eastAsia="pt-BR"/>
        </w:rPr>
        <w:t xml:space="preserve"> </w:t>
      </w:r>
      <w:r w:rsidR="00A21ABA">
        <w:rPr>
          <w:rFonts w:asciiTheme="majorHAnsi" w:hAnsiTheme="majorHAnsi" w:cstheme="majorHAnsi"/>
          <w:b/>
          <w:bCs/>
          <w:sz w:val="24"/>
          <w:szCs w:val="24"/>
          <w:u w:val="single"/>
          <w:lang w:eastAsia="pt-BR"/>
        </w:rPr>
        <w:t>X</w:t>
      </w:r>
      <w:proofErr w:type="gramEnd"/>
      <w:r w:rsidR="00A21ABA">
        <w:rPr>
          <w:rFonts w:asciiTheme="majorHAnsi" w:hAnsiTheme="majorHAnsi" w:cstheme="majorHAnsi"/>
          <w:sz w:val="24"/>
          <w:szCs w:val="24"/>
          <w:lang w:eastAsia="pt-BR"/>
        </w:rPr>
        <w:t xml:space="preserve"> </w:t>
      </w:r>
      <w:r w:rsidRPr="002209D3">
        <w:rPr>
          <w:rFonts w:asciiTheme="majorHAnsi" w:hAnsiTheme="majorHAnsi" w:cstheme="majorHAnsi"/>
          <w:sz w:val="24"/>
          <w:szCs w:val="24"/>
          <w:lang w:eastAsia="pt-BR"/>
        </w:rPr>
        <w:t xml:space="preserve">) compreendem </w:t>
      </w:r>
      <w:r w:rsidRPr="002209D3">
        <w:rPr>
          <w:rFonts w:asciiTheme="majorHAnsi" w:hAnsiTheme="majorHAnsi" w:cstheme="majorHAnsi"/>
          <w:b/>
          <w:sz w:val="24"/>
          <w:szCs w:val="24"/>
          <w:lang w:eastAsia="pt-BR"/>
        </w:rPr>
        <w:t>apenas</w:t>
      </w:r>
      <w:r w:rsidRPr="002209D3">
        <w:rPr>
          <w:rFonts w:asciiTheme="majorHAnsi" w:hAnsiTheme="majorHAnsi" w:cstheme="majorHAnsi"/>
          <w:sz w:val="24"/>
          <w:szCs w:val="24"/>
          <w:lang w:eastAsia="pt-BR"/>
        </w:rPr>
        <w:t xml:space="preserve"> os componentes de preço que podem ser devidamente identificados, quantificados e mensurados na planilha orçamentária.</w:t>
      </w:r>
    </w:p>
    <w:p w14:paraId="31C6523A" w14:textId="77777777" w:rsidR="002209D3" w:rsidRPr="002209D3" w:rsidRDefault="002209D3" w:rsidP="002209D3">
      <w:pPr>
        <w:spacing w:after="360"/>
        <w:jc w:val="both"/>
        <w:rPr>
          <w:rFonts w:asciiTheme="majorHAnsi" w:hAnsiTheme="majorHAnsi" w:cstheme="majorHAnsi"/>
          <w:sz w:val="24"/>
          <w:szCs w:val="24"/>
          <w:lang w:eastAsia="pt-BR"/>
        </w:rPr>
      </w:pPr>
      <w:r w:rsidRPr="002209D3">
        <w:rPr>
          <w:rFonts w:asciiTheme="majorHAnsi" w:hAnsiTheme="majorHAnsi" w:cstheme="majorHAnsi"/>
          <w:sz w:val="24"/>
          <w:szCs w:val="24"/>
          <w:lang w:eastAsia="pt-BR"/>
        </w:rPr>
        <w:t xml:space="preserve">Especificamente em relação ao custo direto de </w:t>
      </w:r>
      <w:r w:rsidRPr="002209D3">
        <w:rPr>
          <w:rFonts w:asciiTheme="majorHAnsi" w:hAnsiTheme="majorHAnsi" w:cstheme="majorHAnsi"/>
          <w:b/>
          <w:sz w:val="24"/>
          <w:szCs w:val="24"/>
          <w:lang w:eastAsia="pt-BR"/>
        </w:rPr>
        <w:t>administração local</w:t>
      </w:r>
      <w:r w:rsidRPr="002209D3">
        <w:rPr>
          <w:rFonts w:asciiTheme="majorHAnsi" w:hAnsiTheme="majorHAnsi" w:cstheme="majorHAnsi"/>
          <w:sz w:val="24"/>
          <w:szCs w:val="24"/>
          <w:lang w:eastAsia="pt-BR"/>
        </w:rPr>
        <w:t>:</w:t>
      </w:r>
    </w:p>
    <w:p w14:paraId="204D38F7" w14:textId="1AC9760E" w:rsidR="002209D3" w:rsidRPr="002209D3" w:rsidRDefault="002209D3" w:rsidP="002209D3">
      <w:pPr>
        <w:spacing w:after="360"/>
        <w:jc w:val="both"/>
        <w:rPr>
          <w:rFonts w:asciiTheme="majorHAnsi" w:hAnsiTheme="majorHAnsi" w:cstheme="majorHAnsi"/>
          <w:sz w:val="24"/>
          <w:szCs w:val="24"/>
          <w:lang w:eastAsia="pt-BR"/>
        </w:rPr>
      </w:pPr>
      <w:proofErr w:type="gramStart"/>
      <w:r w:rsidRPr="002209D3">
        <w:rPr>
          <w:rFonts w:asciiTheme="majorHAnsi" w:hAnsiTheme="majorHAnsi" w:cstheme="majorHAnsi"/>
          <w:sz w:val="24"/>
          <w:szCs w:val="24"/>
          <w:lang w:eastAsia="pt-BR"/>
        </w:rPr>
        <w:t>(</w:t>
      </w:r>
      <w:r w:rsidR="00A21ABA">
        <w:rPr>
          <w:rFonts w:asciiTheme="majorHAnsi" w:hAnsiTheme="majorHAnsi" w:cstheme="majorHAnsi"/>
          <w:sz w:val="24"/>
          <w:szCs w:val="24"/>
          <w:lang w:eastAsia="pt-BR"/>
        </w:rPr>
        <w:t xml:space="preserve"> </w:t>
      </w:r>
      <w:r w:rsidR="00AB1D88">
        <w:rPr>
          <w:rFonts w:asciiTheme="majorHAnsi" w:hAnsiTheme="majorHAnsi" w:cstheme="majorHAnsi"/>
          <w:b/>
          <w:bCs/>
          <w:sz w:val="24"/>
          <w:szCs w:val="24"/>
          <w:lang w:eastAsia="pt-BR"/>
        </w:rPr>
        <w:t xml:space="preserve"> </w:t>
      </w:r>
      <w:proofErr w:type="gramEnd"/>
      <w:r w:rsidR="00A21ABA">
        <w:rPr>
          <w:rFonts w:asciiTheme="majorHAnsi" w:hAnsiTheme="majorHAnsi" w:cstheme="majorHAnsi"/>
          <w:sz w:val="24"/>
          <w:szCs w:val="24"/>
          <w:lang w:eastAsia="pt-BR"/>
        </w:rPr>
        <w:t xml:space="preserve"> </w:t>
      </w:r>
      <w:r w:rsidRPr="002209D3">
        <w:rPr>
          <w:rFonts w:asciiTheme="majorHAnsi" w:hAnsiTheme="majorHAnsi" w:cstheme="majorHAnsi"/>
          <w:sz w:val="24"/>
          <w:szCs w:val="24"/>
          <w:lang w:eastAsia="pt-BR"/>
        </w:rPr>
        <w:t>) observa os parâmetros do Acórdão n. 2.622/2013 - Plenário do TCU;</w:t>
      </w:r>
    </w:p>
    <w:p w14:paraId="4D8F1C0E" w14:textId="59BD1E38" w:rsidR="002209D3" w:rsidRPr="002209D3" w:rsidRDefault="00CD051A" w:rsidP="002209D3">
      <w:pPr>
        <w:spacing w:after="360"/>
        <w:jc w:val="both"/>
        <w:rPr>
          <w:rFonts w:asciiTheme="majorHAnsi" w:hAnsiTheme="majorHAnsi" w:cstheme="majorHAnsi"/>
          <w:sz w:val="24"/>
          <w:szCs w:val="24"/>
          <w:lang w:eastAsia="pt-BR"/>
        </w:rPr>
      </w:pPr>
      <w:proofErr w:type="gramStart"/>
      <w:r w:rsidRPr="002209D3">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sidR="00AB1D88">
        <w:rPr>
          <w:rFonts w:asciiTheme="majorHAnsi" w:hAnsiTheme="majorHAnsi" w:cstheme="majorHAnsi"/>
          <w:b/>
          <w:bCs/>
          <w:sz w:val="24"/>
          <w:szCs w:val="24"/>
          <w:lang w:eastAsia="pt-BR"/>
        </w:rPr>
        <w:t xml:space="preserve"> </w:t>
      </w:r>
      <w:proofErr w:type="gramEnd"/>
      <w:r>
        <w:rPr>
          <w:rFonts w:asciiTheme="majorHAnsi" w:hAnsiTheme="majorHAnsi" w:cstheme="majorHAnsi"/>
          <w:sz w:val="24"/>
          <w:szCs w:val="24"/>
          <w:lang w:eastAsia="pt-BR"/>
        </w:rPr>
        <w:t xml:space="preserve"> </w:t>
      </w:r>
      <w:r w:rsidRPr="002209D3">
        <w:rPr>
          <w:rFonts w:asciiTheme="majorHAnsi" w:hAnsiTheme="majorHAnsi" w:cstheme="majorHAnsi"/>
          <w:sz w:val="24"/>
          <w:szCs w:val="24"/>
          <w:lang w:eastAsia="pt-BR"/>
        </w:rPr>
        <w:t xml:space="preserve">) </w:t>
      </w:r>
      <w:r w:rsidR="002209D3" w:rsidRPr="002209D3">
        <w:rPr>
          <w:rFonts w:asciiTheme="majorHAnsi" w:hAnsiTheme="majorHAnsi" w:cstheme="majorHAnsi"/>
          <w:sz w:val="24"/>
          <w:szCs w:val="24"/>
          <w:lang w:eastAsia="pt-BR"/>
        </w:rPr>
        <w:t xml:space="preserve"> adota o parâmetro do (</w:t>
      </w:r>
      <w:r>
        <w:rPr>
          <w:rFonts w:asciiTheme="majorHAnsi" w:hAnsiTheme="majorHAnsi" w:cstheme="majorHAnsi"/>
          <w:sz w:val="24"/>
          <w:szCs w:val="24"/>
          <w:lang w:eastAsia="pt-BR"/>
        </w:rPr>
        <w:t xml:space="preserve">   </w:t>
      </w:r>
      <w:r w:rsidR="002209D3" w:rsidRPr="002209D3">
        <w:rPr>
          <w:rFonts w:asciiTheme="majorHAnsi" w:hAnsiTheme="majorHAnsi" w:cstheme="majorHAnsi"/>
          <w:sz w:val="24"/>
          <w:szCs w:val="24"/>
          <w:lang w:eastAsia="pt-BR"/>
        </w:rPr>
        <w:t xml:space="preserve">) 1º quartil ou </w:t>
      </w:r>
      <w:r w:rsidRPr="002209D3">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sidR="00AB1D88">
        <w:rPr>
          <w:rFonts w:asciiTheme="majorHAnsi" w:hAnsiTheme="majorHAnsi" w:cstheme="majorHAnsi"/>
          <w:b/>
          <w:bCs/>
          <w:sz w:val="24"/>
          <w:szCs w:val="24"/>
          <w:lang w:eastAsia="pt-BR"/>
        </w:rPr>
        <w:t xml:space="preserve"> </w:t>
      </w:r>
      <w:r>
        <w:rPr>
          <w:rFonts w:asciiTheme="majorHAnsi" w:hAnsiTheme="majorHAnsi" w:cstheme="majorHAnsi"/>
          <w:sz w:val="24"/>
          <w:szCs w:val="24"/>
          <w:lang w:eastAsia="pt-BR"/>
        </w:rPr>
        <w:t xml:space="preserve"> </w:t>
      </w:r>
      <w:r w:rsidRPr="002209D3">
        <w:rPr>
          <w:rFonts w:asciiTheme="majorHAnsi" w:hAnsiTheme="majorHAnsi" w:cstheme="majorHAnsi"/>
          <w:sz w:val="24"/>
          <w:szCs w:val="24"/>
          <w:lang w:eastAsia="pt-BR"/>
        </w:rPr>
        <w:t xml:space="preserve">) </w:t>
      </w:r>
      <w:r w:rsidR="002209D3" w:rsidRPr="002209D3">
        <w:rPr>
          <w:rFonts w:asciiTheme="majorHAnsi" w:hAnsiTheme="majorHAnsi" w:cstheme="majorHAnsi"/>
          <w:sz w:val="24"/>
          <w:szCs w:val="24"/>
          <w:lang w:eastAsia="pt-BR"/>
        </w:rPr>
        <w:t xml:space="preserve"> médio ou (</w:t>
      </w:r>
      <w:r>
        <w:rPr>
          <w:rFonts w:asciiTheme="majorHAnsi" w:hAnsiTheme="majorHAnsi" w:cstheme="majorHAnsi"/>
          <w:sz w:val="24"/>
          <w:szCs w:val="24"/>
          <w:lang w:eastAsia="pt-BR"/>
        </w:rPr>
        <w:t xml:space="preserve">   </w:t>
      </w:r>
      <w:r w:rsidR="002209D3" w:rsidRPr="002209D3">
        <w:rPr>
          <w:rFonts w:asciiTheme="majorHAnsi" w:hAnsiTheme="majorHAnsi" w:cstheme="majorHAnsi"/>
          <w:sz w:val="24"/>
          <w:szCs w:val="24"/>
          <w:lang w:eastAsia="pt-BR"/>
        </w:rPr>
        <w:t xml:space="preserve">) 3º quartil, de acordo com as justificativas técnicas abaixo apresentadas </w:t>
      </w:r>
      <w:r w:rsidR="002209D3" w:rsidRPr="002209D3">
        <w:rPr>
          <w:rFonts w:asciiTheme="majorHAnsi" w:hAnsiTheme="majorHAnsi" w:cstheme="majorHAnsi"/>
          <w:b/>
          <w:sz w:val="24"/>
          <w:szCs w:val="24"/>
          <w:lang w:eastAsia="pt-BR"/>
        </w:rPr>
        <w:t>para os casos em que não foi adotado o médio</w:t>
      </w:r>
      <w:r w:rsidR="002209D3" w:rsidRPr="002209D3">
        <w:rPr>
          <w:rFonts w:asciiTheme="majorHAnsi" w:hAnsiTheme="majorHAnsi" w:cstheme="majorHAnsi"/>
          <w:sz w:val="24"/>
          <w:szCs w:val="24"/>
          <w:lang w:eastAsia="pt-BR"/>
        </w:rPr>
        <w:t>:</w:t>
      </w:r>
    </w:p>
    <w:p w14:paraId="06342FC0" w14:textId="080267CD" w:rsidR="002209D3" w:rsidRPr="00CD051A" w:rsidRDefault="00AB1D88" w:rsidP="002209D3">
      <w:pPr>
        <w:spacing w:after="360"/>
        <w:jc w:val="both"/>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lastRenderedPageBreak/>
        <w:t>O ITEM “ADMINISTRAÇÃO LOCAL” NÃO FOI ADOTADA, VISTO SE TRATAR DE SERVIÇOS DE BAIXA COMPLEXIDADE, RÁPIDA EXECUÇÃO,</w:t>
      </w:r>
      <w:r w:rsidR="00C71FE1">
        <w:rPr>
          <w:rFonts w:asciiTheme="majorHAnsi" w:hAnsiTheme="majorHAnsi" w:cstheme="majorHAnsi"/>
          <w:b/>
          <w:bCs/>
          <w:sz w:val="24"/>
          <w:szCs w:val="24"/>
          <w:u w:val="single"/>
          <w:lang w:eastAsia="pt-BR"/>
        </w:rPr>
        <w:t xml:space="preserve"> PEQUENO PORTE, LOCALIZADA EM LOCAL DE FÁCIL ACESSO, PRÓXIMO </w:t>
      </w:r>
      <w:r w:rsidR="008D102A">
        <w:rPr>
          <w:rFonts w:asciiTheme="majorHAnsi" w:hAnsiTheme="majorHAnsi" w:cstheme="majorHAnsi"/>
          <w:b/>
          <w:bCs/>
          <w:sz w:val="24"/>
          <w:szCs w:val="24"/>
          <w:u w:val="single"/>
          <w:lang w:eastAsia="pt-BR"/>
        </w:rPr>
        <w:t>A</w:t>
      </w:r>
      <w:r w:rsidR="00C71FE1">
        <w:rPr>
          <w:rFonts w:asciiTheme="majorHAnsi" w:hAnsiTheme="majorHAnsi" w:cstheme="majorHAnsi"/>
          <w:b/>
          <w:bCs/>
          <w:sz w:val="24"/>
          <w:szCs w:val="24"/>
          <w:u w:val="single"/>
          <w:lang w:eastAsia="pt-BR"/>
        </w:rPr>
        <w:t xml:space="preserve"> LOCAIS DE FORNECIMENTO DE MATERIAIS E DAS SEDES DE EMPRESAS DO RAMO, PORTANTO, NÃO CONFIGURANDO A NECESSIDADE DA ADOÇÃO DE ITEM EM SEPARADO PARA ADMINISTRAÇÃO LOCAL. QUALQUER INDICIO PARA CONSIDERAÇÃO DA ADMINSTRAÇÃO LOCAL, É ABSORVIDO PELO ITEM “ADMINISTRAÇÃO CENTRAL”, JÁ CONSIDERADO NO CÁLCULO DO BDI, INCLUSIVE SENDO ADOTADO PARA ESSE ITEM UMA FAIXA ENTRE MÉDIO E TERCEIRO QUARTIL.</w:t>
      </w:r>
    </w:p>
    <w:p w14:paraId="1B188EB3" w14:textId="77777777" w:rsidR="002209D3" w:rsidRPr="002209D3" w:rsidRDefault="002209D3" w:rsidP="002209D3">
      <w:pPr>
        <w:spacing w:after="360"/>
        <w:jc w:val="both"/>
        <w:rPr>
          <w:rFonts w:asciiTheme="majorHAnsi" w:hAnsiTheme="majorHAnsi" w:cstheme="majorHAnsi"/>
          <w:sz w:val="24"/>
          <w:szCs w:val="24"/>
          <w:lang w:eastAsia="pt-BR"/>
        </w:rPr>
      </w:pPr>
      <w:proofErr w:type="gramStart"/>
      <w:r w:rsidRPr="002209D3">
        <w:rPr>
          <w:rFonts w:asciiTheme="majorHAnsi" w:hAnsiTheme="majorHAnsi" w:cstheme="majorHAnsi"/>
          <w:sz w:val="24"/>
          <w:szCs w:val="24"/>
          <w:lang w:eastAsia="pt-BR"/>
        </w:rPr>
        <w:t xml:space="preserve">(  </w:t>
      </w:r>
      <w:proofErr w:type="gramEnd"/>
      <w:r w:rsidRPr="002209D3">
        <w:rPr>
          <w:rFonts w:asciiTheme="majorHAnsi" w:hAnsiTheme="majorHAnsi" w:cstheme="majorHAnsi"/>
          <w:sz w:val="24"/>
          <w:szCs w:val="24"/>
          <w:lang w:eastAsia="pt-BR"/>
        </w:rPr>
        <w:t xml:space="preserve"> ) adota percentual superior ao 3º quartil, em razão das peculiaridades do objeto licitado, de acordo com as justificativas técnicas abaixo apresentadas:</w:t>
      </w:r>
    </w:p>
    <w:p w14:paraId="7FA9B017" w14:textId="3AE59F05" w:rsidR="00C71FE1" w:rsidRPr="00CD051A" w:rsidRDefault="00C71FE1" w:rsidP="00C71FE1">
      <w:pPr>
        <w:spacing w:after="360"/>
        <w:jc w:val="both"/>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O ITEM “ADMINISTRAÇÃO LOCAL” NÃO FOI ADOTADA, VISTO SE TRATAR DE SERVIÇOS DE BAIXA COMPLEXIDADE, RÁPIDA EXECUÇÃO, PEQUENO PORTE, LOCALIZADA EM LOCAL DE FÁCIL ACESSO, PRÓXIMO</w:t>
      </w:r>
      <w:r w:rsidR="008D102A">
        <w:rPr>
          <w:rFonts w:asciiTheme="majorHAnsi" w:hAnsiTheme="majorHAnsi" w:cstheme="majorHAnsi"/>
          <w:b/>
          <w:bCs/>
          <w:sz w:val="24"/>
          <w:szCs w:val="24"/>
          <w:u w:val="single"/>
          <w:lang w:eastAsia="pt-BR"/>
        </w:rPr>
        <w:t xml:space="preserve"> A</w:t>
      </w:r>
      <w:r>
        <w:rPr>
          <w:rFonts w:asciiTheme="majorHAnsi" w:hAnsiTheme="majorHAnsi" w:cstheme="majorHAnsi"/>
          <w:b/>
          <w:bCs/>
          <w:sz w:val="24"/>
          <w:szCs w:val="24"/>
          <w:u w:val="single"/>
          <w:lang w:eastAsia="pt-BR"/>
        </w:rPr>
        <w:t xml:space="preserve"> LOCAIS DE FORNECIMENTO DE MATERIAIS E DAS SEDES DE EMPRESAS DO RAMO, PORTANTO, NÃO CONFIGURANDO A NECESSIDADE DA ADOÇÃO DE ITEM EM SEPARADO PARA ADMINISTRAÇÃO LOCAL. QUALQUER INDICIO PARA CONSIDERAÇÃO DA ADMINSTRAÇÃO LOCAL, É ABSORVIDO PELO ITEM “ADMINISTRAÇÃO CENTRAL”, JÁ CONSIDERADO NO CÁLCULO DO BDI, INCLUSIVE SENDO ADOTADO PARA ESSE ITEM UMA FAIXA ENTRE MÉDIO E TERCEIRO QUARTIL.</w:t>
      </w:r>
    </w:p>
    <w:p w14:paraId="2D79C237" w14:textId="77777777" w:rsidR="007E06D2" w:rsidRDefault="002209D3" w:rsidP="002209D3">
      <w:pPr>
        <w:spacing w:after="360"/>
        <w:jc w:val="both"/>
        <w:rPr>
          <w:rFonts w:asciiTheme="majorHAnsi" w:hAnsiTheme="majorHAnsi" w:cstheme="majorHAnsi"/>
          <w:sz w:val="24"/>
          <w:szCs w:val="24"/>
          <w:lang w:eastAsia="pt-BR"/>
        </w:rPr>
      </w:pPr>
      <w:r w:rsidRPr="002209D3">
        <w:rPr>
          <w:rFonts w:asciiTheme="majorHAnsi" w:hAnsiTheme="majorHAnsi" w:cstheme="majorHAnsi"/>
          <w:sz w:val="24"/>
          <w:szCs w:val="24"/>
          <w:lang w:eastAsia="pt-BR"/>
        </w:rPr>
        <w:t>Em relação ao cronograma físico-financeiro</w:t>
      </w:r>
      <w:r w:rsidR="007E06D2">
        <w:rPr>
          <w:rFonts w:asciiTheme="majorHAnsi" w:hAnsiTheme="majorHAnsi" w:cstheme="majorHAnsi"/>
          <w:sz w:val="24"/>
          <w:szCs w:val="24"/>
          <w:lang w:eastAsia="pt-BR"/>
        </w:rPr>
        <w:t>:</w:t>
      </w:r>
    </w:p>
    <w:p w14:paraId="33FB1ECE" w14:textId="5815881E" w:rsidR="002209D3" w:rsidRPr="002209D3" w:rsidRDefault="00CD051A" w:rsidP="002209D3">
      <w:pPr>
        <w:spacing w:after="360"/>
        <w:jc w:val="both"/>
        <w:rPr>
          <w:rFonts w:asciiTheme="majorHAnsi" w:hAnsiTheme="majorHAnsi" w:cstheme="majorHAnsi"/>
          <w:sz w:val="24"/>
          <w:szCs w:val="24"/>
          <w:lang w:eastAsia="pt-BR"/>
        </w:rPr>
      </w:pPr>
      <w:proofErr w:type="gramStart"/>
      <w:r w:rsidRPr="002209D3">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sidR="00C71FE1">
        <w:rPr>
          <w:rFonts w:asciiTheme="majorHAnsi" w:hAnsiTheme="majorHAnsi" w:cstheme="majorHAnsi"/>
          <w:b/>
          <w:bCs/>
          <w:sz w:val="24"/>
          <w:szCs w:val="24"/>
          <w:lang w:eastAsia="pt-BR"/>
        </w:rPr>
        <w:t xml:space="preserve"> </w:t>
      </w:r>
      <w:proofErr w:type="gramEnd"/>
      <w:r>
        <w:rPr>
          <w:rFonts w:asciiTheme="majorHAnsi" w:hAnsiTheme="majorHAnsi" w:cstheme="majorHAnsi"/>
          <w:sz w:val="24"/>
          <w:szCs w:val="24"/>
          <w:lang w:eastAsia="pt-BR"/>
        </w:rPr>
        <w:t xml:space="preserve"> </w:t>
      </w:r>
      <w:r w:rsidRPr="002209D3">
        <w:rPr>
          <w:rFonts w:asciiTheme="majorHAnsi" w:hAnsiTheme="majorHAnsi" w:cstheme="majorHAnsi"/>
          <w:sz w:val="24"/>
          <w:szCs w:val="24"/>
          <w:lang w:eastAsia="pt-BR"/>
        </w:rPr>
        <w:t xml:space="preserve">)  </w:t>
      </w:r>
      <w:r w:rsidR="002209D3" w:rsidRPr="002209D3">
        <w:rPr>
          <w:rFonts w:asciiTheme="majorHAnsi" w:hAnsiTheme="majorHAnsi" w:cstheme="majorHAnsi"/>
          <w:sz w:val="24"/>
          <w:szCs w:val="24"/>
          <w:lang w:eastAsia="pt-BR"/>
        </w:rPr>
        <w:t>PREVÊ pagamentos proporcionais para os custos diretos, em especial quanto ao de administração local, para cada período de execução contratual, refletindo adequadamente a evolução da execução da obra, ao invés de reproduzir percentuais fixos.</w:t>
      </w:r>
    </w:p>
    <w:p w14:paraId="43D99F6D" w14:textId="41B08DD0" w:rsidR="002209D3" w:rsidRPr="002209D3" w:rsidRDefault="002209D3" w:rsidP="002209D3">
      <w:pPr>
        <w:spacing w:after="360"/>
        <w:jc w:val="both"/>
        <w:rPr>
          <w:rFonts w:asciiTheme="majorHAnsi" w:hAnsiTheme="majorHAnsi" w:cstheme="majorHAnsi"/>
          <w:sz w:val="24"/>
          <w:szCs w:val="24"/>
          <w:lang w:eastAsia="pt-BR"/>
        </w:rPr>
      </w:pPr>
      <w:proofErr w:type="gramStart"/>
      <w:r w:rsidRPr="002209D3">
        <w:rPr>
          <w:rFonts w:asciiTheme="majorHAnsi" w:hAnsiTheme="majorHAnsi" w:cstheme="majorHAnsi"/>
          <w:sz w:val="24"/>
          <w:szCs w:val="24"/>
          <w:lang w:eastAsia="pt-BR"/>
        </w:rPr>
        <w:t xml:space="preserve">( </w:t>
      </w:r>
      <w:r w:rsidR="007E06D2">
        <w:rPr>
          <w:rFonts w:asciiTheme="majorHAnsi" w:hAnsiTheme="majorHAnsi" w:cstheme="majorHAnsi"/>
          <w:sz w:val="24"/>
          <w:szCs w:val="24"/>
          <w:lang w:eastAsia="pt-BR"/>
        </w:rPr>
        <w:t xml:space="preserve"> </w:t>
      </w:r>
      <w:proofErr w:type="gramEnd"/>
      <w:r w:rsidRPr="002209D3">
        <w:rPr>
          <w:rFonts w:asciiTheme="majorHAnsi" w:hAnsiTheme="majorHAnsi" w:cstheme="majorHAnsi"/>
          <w:sz w:val="24"/>
          <w:szCs w:val="24"/>
          <w:lang w:eastAsia="pt-BR"/>
        </w:rPr>
        <w:t xml:space="preserve">  ) NÃO FORAM PREVISTOS pagamentos proporcionais para os custos diretos, incluindo os de administração local, para cada período de execução contratual, sob a seguinte justificativa:</w:t>
      </w:r>
    </w:p>
    <w:p w14:paraId="4D13BC9E" w14:textId="16124E7F" w:rsidR="00C71FE1" w:rsidRPr="00CD051A" w:rsidRDefault="00C71FE1" w:rsidP="00C71FE1">
      <w:pPr>
        <w:spacing w:after="360"/>
        <w:jc w:val="both"/>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 xml:space="preserve">O ITEM “ADMINISTRAÇÃO LOCAL” NÃO FOI ADOTADA, VISTO SE TRATAR DE SERVIÇOS DE BAIXA COMPLEXIDADE, RÁPIDA EXECUÇÃO, PEQUENO PORTE, LOCALIZADA EM LOCAL DE FÁCIL ACESSO, PRÓXIMO </w:t>
      </w:r>
      <w:r w:rsidR="008D102A">
        <w:rPr>
          <w:rFonts w:asciiTheme="majorHAnsi" w:hAnsiTheme="majorHAnsi" w:cstheme="majorHAnsi"/>
          <w:b/>
          <w:bCs/>
          <w:sz w:val="24"/>
          <w:szCs w:val="24"/>
          <w:u w:val="single"/>
          <w:lang w:eastAsia="pt-BR"/>
        </w:rPr>
        <w:t>A</w:t>
      </w:r>
      <w:r>
        <w:rPr>
          <w:rFonts w:asciiTheme="majorHAnsi" w:hAnsiTheme="majorHAnsi" w:cstheme="majorHAnsi"/>
          <w:b/>
          <w:bCs/>
          <w:sz w:val="24"/>
          <w:szCs w:val="24"/>
          <w:u w:val="single"/>
          <w:lang w:eastAsia="pt-BR"/>
        </w:rPr>
        <w:t xml:space="preserve"> LOCAIS DE FORNECIMENTO DE MATERIAIS E DAS SEDES DE EMPRESAS DO RAMO, PORTANTO, NÃO CONFIGURANDO A NECESSIDADE DA ADOÇÃO DE ITEM EM SEPARADO PARA ADMINISTRAÇÃO LOCAL. QUALQUER INDICIO PARA CONSIDERAÇÃO DA ADMINSTRAÇÃO LOCAL, É ABSORVIDO PELO ITEM “ADMINISTRAÇÃO CENTRAL”, JÁ CONSIDERADO NO CÁLCULO DO BDI, INCLUSIVE SENDO ADOTADO PARA ESSE ITEM UMA FAIXA ENTRE MÉDIO E TERCEIRO QUARTIL.</w:t>
      </w:r>
    </w:p>
    <w:p w14:paraId="5C244B0A" w14:textId="3DBC7687" w:rsidR="00DC7BBD" w:rsidRDefault="001E704A"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7" w:history="1">
        <w:r w:rsidR="00DC7BBD" w:rsidRPr="00E04D41">
          <w:rPr>
            <w:rStyle w:val="Hyperlink"/>
            <w:rFonts w:asciiTheme="majorHAnsi" w:hAnsiTheme="majorHAnsi" w:cstheme="majorHAnsi"/>
            <w:sz w:val="24"/>
            <w:szCs w:val="24"/>
          </w:rPr>
          <w:t xml:space="preserve">Vide </w:t>
        </w:r>
        <w:r w:rsidR="00D053FD" w:rsidRPr="00E04D41">
          <w:rPr>
            <w:rStyle w:val="Hyperlink"/>
            <w:rFonts w:asciiTheme="majorHAnsi" w:hAnsiTheme="majorHAnsi" w:cstheme="majorHAnsi"/>
            <w:sz w:val="24"/>
            <w:szCs w:val="24"/>
          </w:rPr>
          <w:t xml:space="preserve">Nota Explicativa n. </w:t>
        </w:r>
        <w:r w:rsidR="00E04D41" w:rsidRPr="00E04D41">
          <w:rPr>
            <w:rStyle w:val="Hyperlink"/>
            <w:rFonts w:asciiTheme="majorHAnsi" w:hAnsiTheme="majorHAnsi" w:cstheme="majorHAnsi"/>
            <w:sz w:val="24"/>
            <w:szCs w:val="24"/>
          </w:rPr>
          <w:t>7</w:t>
        </w:r>
        <w:r w:rsidR="00D053FD" w:rsidRPr="00E04D41">
          <w:rPr>
            <w:rStyle w:val="Hyperlink"/>
            <w:rFonts w:asciiTheme="majorHAnsi" w:hAnsiTheme="majorHAnsi" w:cstheme="majorHAnsi"/>
            <w:sz w:val="24"/>
            <w:szCs w:val="24"/>
          </w:rPr>
          <w:t>.</w:t>
        </w:r>
      </w:hyperlink>
    </w:p>
    <w:p w14:paraId="6006C4D5" w14:textId="77777777" w:rsidR="009A2F88" w:rsidRPr="00C000A1" w:rsidRDefault="009A2F88"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185652EF" w14:textId="44B9212E" w:rsidR="000B0BA3"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22" w:name="_Toc142556191"/>
      <w:bookmarkStart w:id="23" w:name="nt_8_retorno"/>
      <w:r w:rsidRPr="00C000A1">
        <w:rPr>
          <w:rFonts w:cstheme="majorHAnsi"/>
          <w:caps w:val="0"/>
          <w:szCs w:val="24"/>
        </w:rPr>
        <w:lastRenderedPageBreak/>
        <w:t xml:space="preserve">ELABORAÇÃO DAS CURVAS </w:t>
      </w:r>
      <w:r>
        <w:rPr>
          <w:rFonts w:cstheme="majorHAnsi"/>
          <w:caps w:val="0"/>
          <w:szCs w:val="24"/>
        </w:rPr>
        <w:t>ABC</w:t>
      </w:r>
      <w:r w:rsidRPr="00C000A1">
        <w:rPr>
          <w:rFonts w:cstheme="majorHAnsi"/>
          <w:caps w:val="0"/>
          <w:szCs w:val="24"/>
        </w:rPr>
        <w:t xml:space="preserve"> DOS SERVIÇOS E INSUMOS</w:t>
      </w:r>
      <w:bookmarkEnd w:id="22"/>
    </w:p>
    <w:bookmarkEnd w:id="23"/>
    <w:p w14:paraId="4561F7E8" w14:textId="77777777" w:rsidR="00D174C2" w:rsidRDefault="004F2005" w:rsidP="00C000A1">
      <w:pPr>
        <w:pStyle w:val="Normal-TJTR"/>
        <w:spacing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Na presente licitação</w:t>
      </w:r>
      <w:r w:rsidR="001E7219">
        <w:rPr>
          <w:rFonts w:asciiTheme="majorHAnsi" w:hAnsiTheme="majorHAnsi" w:cstheme="majorHAnsi"/>
          <w:sz w:val="24"/>
          <w:szCs w:val="24"/>
          <w:lang w:eastAsia="pt-BR"/>
        </w:rPr>
        <w:t>:</w:t>
      </w:r>
    </w:p>
    <w:p w14:paraId="14E2201A" w14:textId="58BB07EA" w:rsidR="004F2005" w:rsidRDefault="00D174C2" w:rsidP="00C000A1">
      <w:pPr>
        <w:pStyle w:val="Normal-TJTR"/>
        <w:spacing w:after="360"/>
        <w:rPr>
          <w:rFonts w:asciiTheme="majorHAnsi" w:hAnsiTheme="majorHAnsi" w:cstheme="majorHAnsi"/>
          <w:sz w:val="24"/>
          <w:szCs w:val="24"/>
          <w:lang w:eastAsia="pt-BR"/>
        </w:rPr>
      </w:pPr>
      <w:proofErr w:type="gramStart"/>
      <w:r>
        <w:rPr>
          <w:rFonts w:asciiTheme="majorHAnsi" w:hAnsiTheme="majorHAnsi" w:cstheme="majorHAnsi"/>
          <w:sz w:val="24"/>
          <w:szCs w:val="24"/>
          <w:lang w:eastAsia="pt-BR"/>
        </w:rPr>
        <w:t>(</w:t>
      </w:r>
      <w:r w:rsidR="003B43F8">
        <w:rPr>
          <w:rFonts w:asciiTheme="majorHAnsi" w:hAnsiTheme="majorHAnsi" w:cstheme="majorHAnsi"/>
          <w:sz w:val="24"/>
          <w:szCs w:val="24"/>
          <w:lang w:eastAsia="pt-BR"/>
        </w:rPr>
        <w:t xml:space="preserve"> </w:t>
      </w:r>
      <w:r w:rsidR="003B43F8">
        <w:rPr>
          <w:rFonts w:asciiTheme="majorHAnsi" w:hAnsiTheme="majorHAnsi" w:cstheme="majorHAnsi"/>
          <w:b/>
          <w:bCs/>
          <w:sz w:val="24"/>
          <w:szCs w:val="24"/>
          <w:u w:val="single"/>
          <w:lang w:eastAsia="pt-BR"/>
        </w:rPr>
        <w:t>X</w:t>
      </w:r>
      <w:proofErr w:type="gramEnd"/>
      <w:r w:rsidR="003B43F8">
        <w:rPr>
          <w:rFonts w:asciiTheme="majorHAnsi" w:hAnsiTheme="majorHAnsi" w:cstheme="majorHAnsi"/>
          <w:b/>
          <w:bCs/>
          <w:sz w:val="24"/>
          <w:szCs w:val="24"/>
          <w:lang w:eastAsia="pt-BR"/>
        </w:rPr>
        <w:t xml:space="preserve"> </w:t>
      </w:r>
      <w:r>
        <w:rPr>
          <w:rFonts w:asciiTheme="majorHAnsi" w:hAnsiTheme="majorHAnsi" w:cstheme="majorHAnsi"/>
          <w:sz w:val="24"/>
          <w:szCs w:val="24"/>
          <w:lang w:eastAsia="pt-BR"/>
        </w:rPr>
        <w:t>)</w:t>
      </w:r>
      <w:r w:rsidR="004F2005" w:rsidRPr="00C000A1">
        <w:rPr>
          <w:rFonts w:asciiTheme="majorHAnsi" w:hAnsiTheme="majorHAnsi" w:cstheme="majorHAnsi"/>
          <w:sz w:val="24"/>
          <w:szCs w:val="24"/>
          <w:lang w:eastAsia="pt-BR"/>
        </w:rPr>
        <w:t xml:space="preserve"> </w:t>
      </w:r>
      <w:r>
        <w:rPr>
          <w:rFonts w:asciiTheme="majorHAnsi" w:hAnsiTheme="majorHAnsi" w:cstheme="majorHAnsi"/>
          <w:sz w:val="24"/>
          <w:szCs w:val="24"/>
          <w:lang w:eastAsia="pt-BR"/>
        </w:rPr>
        <w:t>foi/</w:t>
      </w:r>
      <w:r w:rsidR="004F2005" w:rsidRPr="00C000A1">
        <w:rPr>
          <w:rFonts w:asciiTheme="majorHAnsi" w:hAnsiTheme="majorHAnsi" w:cstheme="majorHAnsi"/>
          <w:sz w:val="24"/>
          <w:szCs w:val="24"/>
          <w:lang w:eastAsia="pt-BR"/>
        </w:rPr>
        <w:t>foram juntada</w:t>
      </w:r>
      <w:r>
        <w:rPr>
          <w:rFonts w:asciiTheme="majorHAnsi" w:hAnsiTheme="majorHAnsi" w:cstheme="majorHAnsi"/>
          <w:sz w:val="24"/>
          <w:szCs w:val="24"/>
          <w:lang w:eastAsia="pt-BR"/>
        </w:rPr>
        <w:t>(</w:t>
      </w:r>
      <w:r w:rsidR="004F2005" w:rsidRPr="00C000A1">
        <w:rPr>
          <w:rFonts w:asciiTheme="majorHAnsi" w:hAnsiTheme="majorHAnsi" w:cstheme="majorHAnsi"/>
          <w:sz w:val="24"/>
          <w:szCs w:val="24"/>
          <w:lang w:eastAsia="pt-BR"/>
        </w:rPr>
        <w:t>s</w:t>
      </w:r>
      <w:r>
        <w:rPr>
          <w:rFonts w:asciiTheme="majorHAnsi" w:hAnsiTheme="majorHAnsi" w:cstheme="majorHAnsi"/>
          <w:sz w:val="24"/>
          <w:szCs w:val="24"/>
          <w:lang w:eastAsia="pt-BR"/>
        </w:rPr>
        <w:t>)</w:t>
      </w:r>
      <w:r w:rsidR="004F2005" w:rsidRPr="00C000A1">
        <w:rPr>
          <w:rFonts w:asciiTheme="majorHAnsi" w:hAnsiTheme="majorHAnsi" w:cstheme="majorHAnsi"/>
          <w:sz w:val="24"/>
          <w:szCs w:val="24"/>
          <w:lang w:eastAsia="pt-BR"/>
        </w:rPr>
        <w:t xml:space="preserve"> a</w:t>
      </w:r>
      <w:r>
        <w:rPr>
          <w:rFonts w:asciiTheme="majorHAnsi" w:hAnsiTheme="majorHAnsi" w:cstheme="majorHAnsi"/>
          <w:sz w:val="24"/>
          <w:szCs w:val="24"/>
          <w:lang w:eastAsia="pt-BR"/>
        </w:rPr>
        <w:t>(</w:t>
      </w:r>
      <w:r w:rsidR="004F2005" w:rsidRPr="00C000A1">
        <w:rPr>
          <w:rFonts w:asciiTheme="majorHAnsi" w:hAnsiTheme="majorHAnsi" w:cstheme="majorHAnsi"/>
          <w:sz w:val="24"/>
          <w:szCs w:val="24"/>
          <w:lang w:eastAsia="pt-BR"/>
        </w:rPr>
        <w:t>s</w:t>
      </w:r>
      <w:r>
        <w:rPr>
          <w:rFonts w:asciiTheme="majorHAnsi" w:hAnsiTheme="majorHAnsi" w:cstheme="majorHAnsi"/>
          <w:sz w:val="24"/>
          <w:szCs w:val="24"/>
          <w:lang w:eastAsia="pt-BR"/>
        </w:rPr>
        <w:t>)</w:t>
      </w:r>
      <w:r w:rsidR="004F2005" w:rsidRPr="00C000A1">
        <w:rPr>
          <w:rFonts w:asciiTheme="majorHAnsi" w:hAnsiTheme="majorHAnsi" w:cstheme="majorHAnsi"/>
          <w:sz w:val="24"/>
          <w:szCs w:val="24"/>
          <w:lang w:eastAsia="pt-BR"/>
        </w:rPr>
        <w:t xml:space="preserve"> Curva</w:t>
      </w:r>
      <w:r>
        <w:rPr>
          <w:rFonts w:asciiTheme="majorHAnsi" w:hAnsiTheme="majorHAnsi" w:cstheme="majorHAnsi"/>
          <w:sz w:val="24"/>
          <w:szCs w:val="24"/>
          <w:lang w:eastAsia="pt-BR"/>
        </w:rPr>
        <w:t>(</w:t>
      </w:r>
      <w:r w:rsidR="004F2005" w:rsidRPr="00C000A1">
        <w:rPr>
          <w:rFonts w:asciiTheme="majorHAnsi" w:hAnsiTheme="majorHAnsi" w:cstheme="majorHAnsi"/>
          <w:sz w:val="24"/>
          <w:szCs w:val="24"/>
          <w:lang w:eastAsia="pt-BR"/>
        </w:rPr>
        <w:t>s</w:t>
      </w:r>
      <w:r>
        <w:rPr>
          <w:rFonts w:asciiTheme="majorHAnsi" w:hAnsiTheme="majorHAnsi" w:cstheme="majorHAnsi"/>
          <w:sz w:val="24"/>
          <w:szCs w:val="24"/>
          <w:lang w:eastAsia="pt-BR"/>
        </w:rPr>
        <w:t>)</w:t>
      </w:r>
      <w:r w:rsidR="004F2005" w:rsidRPr="00C000A1">
        <w:rPr>
          <w:rFonts w:asciiTheme="majorHAnsi" w:hAnsiTheme="majorHAnsi" w:cstheme="majorHAnsi"/>
          <w:sz w:val="24"/>
          <w:szCs w:val="24"/>
          <w:lang w:eastAsia="pt-BR"/>
        </w:rPr>
        <w:t xml:space="preserve"> ABC relativas aos</w:t>
      </w:r>
      <w:r w:rsidR="0058259D" w:rsidRPr="00C000A1">
        <w:rPr>
          <w:rFonts w:asciiTheme="majorHAnsi" w:hAnsiTheme="majorHAnsi" w:cstheme="majorHAnsi"/>
          <w:sz w:val="24"/>
          <w:szCs w:val="24"/>
          <w:lang w:eastAsia="pt-BR"/>
        </w:rPr>
        <w:t xml:space="preserve"> (</w:t>
      </w:r>
      <w:r w:rsidR="00FE578A">
        <w:rPr>
          <w:rFonts w:asciiTheme="majorHAnsi" w:hAnsiTheme="majorHAnsi" w:cstheme="majorHAnsi"/>
          <w:sz w:val="24"/>
          <w:szCs w:val="24"/>
          <w:lang w:eastAsia="pt-BR"/>
        </w:rPr>
        <w:t xml:space="preserve">  </w:t>
      </w:r>
      <w:r w:rsidR="0058259D" w:rsidRPr="00C000A1">
        <w:rPr>
          <w:rFonts w:asciiTheme="majorHAnsi" w:hAnsiTheme="majorHAnsi" w:cstheme="majorHAnsi"/>
          <w:sz w:val="24"/>
          <w:szCs w:val="24"/>
          <w:lang w:eastAsia="pt-BR"/>
        </w:rPr>
        <w:t>)</w:t>
      </w:r>
      <w:r w:rsidR="004F2005" w:rsidRPr="00C000A1">
        <w:rPr>
          <w:rFonts w:asciiTheme="majorHAnsi" w:hAnsiTheme="majorHAnsi" w:cstheme="majorHAnsi"/>
          <w:sz w:val="24"/>
          <w:szCs w:val="24"/>
          <w:lang w:eastAsia="pt-BR"/>
        </w:rPr>
        <w:t xml:space="preserve"> </w:t>
      </w:r>
      <w:r w:rsidR="00FE578A">
        <w:rPr>
          <w:rFonts w:asciiTheme="majorHAnsi" w:hAnsiTheme="majorHAnsi" w:cstheme="majorHAnsi"/>
          <w:sz w:val="24"/>
          <w:szCs w:val="24"/>
          <w:lang w:eastAsia="pt-BR"/>
        </w:rPr>
        <w:t>INSUMOS</w:t>
      </w:r>
      <w:r w:rsidR="0058259D" w:rsidRPr="00C000A1">
        <w:rPr>
          <w:rFonts w:asciiTheme="majorHAnsi" w:hAnsiTheme="majorHAnsi" w:cstheme="majorHAnsi"/>
          <w:sz w:val="24"/>
          <w:szCs w:val="24"/>
          <w:lang w:eastAsia="pt-BR"/>
        </w:rPr>
        <w:t xml:space="preserve"> </w:t>
      </w:r>
      <w:r w:rsidR="004F2005" w:rsidRPr="00C000A1">
        <w:rPr>
          <w:rFonts w:asciiTheme="majorHAnsi" w:hAnsiTheme="majorHAnsi" w:cstheme="majorHAnsi"/>
          <w:sz w:val="24"/>
          <w:szCs w:val="24"/>
          <w:lang w:eastAsia="pt-BR"/>
        </w:rPr>
        <w:t xml:space="preserve">e </w:t>
      </w:r>
      <w:r w:rsidR="004F2005" w:rsidRPr="00C000A1">
        <w:rPr>
          <w:rFonts w:asciiTheme="majorHAnsi" w:hAnsiTheme="majorHAnsi" w:cstheme="majorHAnsi"/>
          <w:sz w:val="24"/>
          <w:szCs w:val="24"/>
        </w:rPr>
        <w:br/>
      </w:r>
      <w:r w:rsidR="0058259D" w:rsidRPr="00C000A1">
        <w:rPr>
          <w:rFonts w:asciiTheme="majorHAnsi" w:hAnsiTheme="majorHAnsi" w:cstheme="majorHAnsi"/>
          <w:sz w:val="24"/>
          <w:szCs w:val="24"/>
          <w:lang w:eastAsia="pt-BR"/>
        </w:rPr>
        <w:t>(</w:t>
      </w:r>
      <w:r w:rsidR="003B43F8">
        <w:rPr>
          <w:rFonts w:asciiTheme="majorHAnsi" w:hAnsiTheme="majorHAnsi" w:cstheme="majorHAnsi"/>
          <w:sz w:val="24"/>
          <w:szCs w:val="24"/>
          <w:lang w:eastAsia="pt-BR"/>
        </w:rPr>
        <w:t xml:space="preserve"> </w:t>
      </w:r>
      <w:r w:rsidR="003B43F8">
        <w:rPr>
          <w:rFonts w:asciiTheme="majorHAnsi" w:hAnsiTheme="majorHAnsi" w:cstheme="majorHAnsi"/>
          <w:b/>
          <w:bCs/>
          <w:sz w:val="24"/>
          <w:szCs w:val="24"/>
          <w:u w:val="single"/>
          <w:lang w:eastAsia="pt-BR"/>
        </w:rPr>
        <w:t>X</w:t>
      </w:r>
      <w:r w:rsidR="003B43F8">
        <w:rPr>
          <w:rFonts w:asciiTheme="majorHAnsi" w:hAnsiTheme="majorHAnsi" w:cstheme="majorHAnsi"/>
          <w:sz w:val="24"/>
          <w:szCs w:val="24"/>
          <w:lang w:eastAsia="pt-BR"/>
        </w:rPr>
        <w:t xml:space="preserve"> </w:t>
      </w:r>
      <w:r w:rsidR="0058259D" w:rsidRPr="00C000A1">
        <w:rPr>
          <w:rFonts w:asciiTheme="majorHAnsi" w:hAnsiTheme="majorHAnsi" w:cstheme="majorHAnsi"/>
          <w:sz w:val="24"/>
          <w:szCs w:val="24"/>
          <w:lang w:eastAsia="pt-BR"/>
        </w:rPr>
        <w:t xml:space="preserve">) </w:t>
      </w:r>
      <w:r w:rsidR="00FE578A">
        <w:rPr>
          <w:rFonts w:asciiTheme="majorHAnsi" w:hAnsiTheme="majorHAnsi" w:cstheme="majorHAnsi"/>
          <w:sz w:val="24"/>
          <w:szCs w:val="24"/>
          <w:lang w:eastAsia="pt-BR"/>
        </w:rPr>
        <w:t>SERVIÇOS</w:t>
      </w:r>
      <w:r w:rsidR="004F2005" w:rsidRPr="00C000A1">
        <w:rPr>
          <w:rFonts w:asciiTheme="majorHAnsi" w:hAnsiTheme="majorHAnsi" w:cstheme="majorHAnsi"/>
          <w:sz w:val="24"/>
          <w:szCs w:val="24"/>
          <w:lang w:eastAsia="pt-BR"/>
        </w:rPr>
        <w:t>.</w:t>
      </w:r>
    </w:p>
    <w:p w14:paraId="729FE0E6" w14:textId="5B818CFF" w:rsidR="00BF0568" w:rsidRDefault="003B43F8" w:rsidP="00BF0568">
      <w:pPr>
        <w:pStyle w:val="Normal-TJTR"/>
        <w:spacing w:after="360"/>
        <w:rPr>
          <w:rFonts w:asciiTheme="majorHAnsi" w:hAnsiTheme="majorHAnsi" w:cstheme="majorHAnsi"/>
          <w:sz w:val="24"/>
          <w:szCs w:val="24"/>
          <w:lang w:eastAsia="pt-BR"/>
        </w:rPr>
      </w:pPr>
      <w:proofErr w:type="gramStart"/>
      <w:r>
        <w:rPr>
          <w:rFonts w:asciiTheme="majorHAnsi" w:hAnsiTheme="majorHAnsi" w:cstheme="majorHAnsi"/>
          <w:sz w:val="24"/>
          <w:szCs w:val="24"/>
          <w:lang w:eastAsia="pt-BR"/>
        </w:rPr>
        <w:t xml:space="preserve">( </w:t>
      </w:r>
      <w:r>
        <w:rPr>
          <w:rFonts w:asciiTheme="majorHAnsi" w:hAnsiTheme="majorHAnsi" w:cstheme="majorHAnsi"/>
          <w:b/>
          <w:bCs/>
          <w:sz w:val="24"/>
          <w:szCs w:val="24"/>
          <w:u w:val="single"/>
          <w:lang w:eastAsia="pt-BR"/>
        </w:rPr>
        <w:t>X</w:t>
      </w:r>
      <w:proofErr w:type="gramEnd"/>
      <w:r>
        <w:rPr>
          <w:rFonts w:asciiTheme="majorHAnsi" w:hAnsiTheme="majorHAnsi" w:cstheme="majorHAnsi"/>
          <w:b/>
          <w:bCs/>
          <w:sz w:val="24"/>
          <w:szCs w:val="24"/>
          <w:lang w:eastAsia="pt-BR"/>
        </w:rPr>
        <w:t xml:space="preserve"> </w:t>
      </w:r>
      <w:r>
        <w:rPr>
          <w:rFonts w:asciiTheme="majorHAnsi" w:hAnsiTheme="majorHAnsi" w:cstheme="majorHAnsi"/>
          <w:sz w:val="24"/>
          <w:szCs w:val="24"/>
          <w:lang w:eastAsia="pt-BR"/>
        </w:rPr>
        <w:t>)</w:t>
      </w:r>
      <w:r w:rsidRPr="00C000A1">
        <w:rPr>
          <w:rFonts w:asciiTheme="majorHAnsi" w:hAnsiTheme="majorHAnsi" w:cstheme="majorHAnsi"/>
          <w:sz w:val="24"/>
          <w:szCs w:val="24"/>
          <w:lang w:eastAsia="pt-BR"/>
        </w:rPr>
        <w:t xml:space="preserve"> </w:t>
      </w:r>
      <w:r w:rsidR="00BF0568">
        <w:rPr>
          <w:rFonts w:asciiTheme="majorHAnsi" w:hAnsiTheme="majorHAnsi" w:cstheme="majorHAnsi"/>
          <w:sz w:val="24"/>
          <w:szCs w:val="24"/>
          <w:lang w:eastAsia="pt-BR"/>
        </w:rPr>
        <w:t>NÃO foi/</w:t>
      </w:r>
      <w:r w:rsidR="00BF0568" w:rsidRPr="00C000A1">
        <w:rPr>
          <w:rFonts w:asciiTheme="majorHAnsi" w:hAnsiTheme="majorHAnsi" w:cstheme="majorHAnsi"/>
          <w:sz w:val="24"/>
          <w:szCs w:val="24"/>
          <w:lang w:eastAsia="pt-BR"/>
        </w:rPr>
        <w:t>foram juntada</w:t>
      </w:r>
      <w:r w:rsidR="00BF0568">
        <w:rPr>
          <w:rFonts w:asciiTheme="majorHAnsi" w:hAnsiTheme="majorHAnsi" w:cstheme="majorHAnsi"/>
          <w:sz w:val="24"/>
          <w:szCs w:val="24"/>
          <w:lang w:eastAsia="pt-BR"/>
        </w:rPr>
        <w:t>(</w:t>
      </w:r>
      <w:r w:rsidR="00BF0568" w:rsidRPr="00C000A1">
        <w:rPr>
          <w:rFonts w:asciiTheme="majorHAnsi" w:hAnsiTheme="majorHAnsi" w:cstheme="majorHAnsi"/>
          <w:sz w:val="24"/>
          <w:szCs w:val="24"/>
          <w:lang w:eastAsia="pt-BR"/>
        </w:rPr>
        <w:t>s</w:t>
      </w:r>
      <w:r w:rsidR="00BF0568">
        <w:rPr>
          <w:rFonts w:asciiTheme="majorHAnsi" w:hAnsiTheme="majorHAnsi" w:cstheme="majorHAnsi"/>
          <w:sz w:val="24"/>
          <w:szCs w:val="24"/>
          <w:lang w:eastAsia="pt-BR"/>
        </w:rPr>
        <w:t>)</w:t>
      </w:r>
      <w:r w:rsidR="00BF0568" w:rsidRPr="00C000A1">
        <w:rPr>
          <w:rFonts w:asciiTheme="majorHAnsi" w:hAnsiTheme="majorHAnsi" w:cstheme="majorHAnsi"/>
          <w:sz w:val="24"/>
          <w:szCs w:val="24"/>
          <w:lang w:eastAsia="pt-BR"/>
        </w:rPr>
        <w:t xml:space="preserve"> a</w:t>
      </w:r>
      <w:r w:rsidR="00BF0568">
        <w:rPr>
          <w:rFonts w:asciiTheme="majorHAnsi" w:hAnsiTheme="majorHAnsi" w:cstheme="majorHAnsi"/>
          <w:sz w:val="24"/>
          <w:szCs w:val="24"/>
          <w:lang w:eastAsia="pt-BR"/>
        </w:rPr>
        <w:t>(</w:t>
      </w:r>
      <w:r w:rsidR="00BF0568" w:rsidRPr="00C000A1">
        <w:rPr>
          <w:rFonts w:asciiTheme="majorHAnsi" w:hAnsiTheme="majorHAnsi" w:cstheme="majorHAnsi"/>
          <w:sz w:val="24"/>
          <w:szCs w:val="24"/>
          <w:lang w:eastAsia="pt-BR"/>
        </w:rPr>
        <w:t>s</w:t>
      </w:r>
      <w:r w:rsidR="00BF0568">
        <w:rPr>
          <w:rFonts w:asciiTheme="majorHAnsi" w:hAnsiTheme="majorHAnsi" w:cstheme="majorHAnsi"/>
          <w:sz w:val="24"/>
          <w:szCs w:val="24"/>
          <w:lang w:eastAsia="pt-BR"/>
        </w:rPr>
        <w:t>)</w:t>
      </w:r>
      <w:r w:rsidR="00BF0568" w:rsidRPr="00C000A1">
        <w:rPr>
          <w:rFonts w:asciiTheme="majorHAnsi" w:hAnsiTheme="majorHAnsi" w:cstheme="majorHAnsi"/>
          <w:sz w:val="24"/>
          <w:szCs w:val="24"/>
          <w:lang w:eastAsia="pt-BR"/>
        </w:rPr>
        <w:t xml:space="preserve"> Curva</w:t>
      </w:r>
      <w:r w:rsidR="00BF0568">
        <w:rPr>
          <w:rFonts w:asciiTheme="majorHAnsi" w:hAnsiTheme="majorHAnsi" w:cstheme="majorHAnsi"/>
          <w:sz w:val="24"/>
          <w:szCs w:val="24"/>
          <w:lang w:eastAsia="pt-BR"/>
        </w:rPr>
        <w:t>(</w:t>
      </w:r>
      <w:r w:rsidR="00BF0568" w:rsidRPr="00C000A1">
        <w:rPr>
          <w:rFonts w:asciiTheme="majorHAnsi" w:hAnsiTheme="majorHAnsi" w:cstheme="majorHAnsi"/>
          <w:sz w:val="24"/>
          <w:szCs w:val="24"/>
          <w:lang w:eastAsia="pt-BR"/>
        </w:rPr>
        <w:t>s</w:t>
      </w:r>
      <w:r w:rsidR="00BF0568">
        <w:rPr>
          <w:rFonts w:asciiTheme="majorHAnsi" w:hAnsiTheme="majorHAnsi" w:cstheme="majorHAnsi"/>
          <w:sz w:val="24"/>
          <w:szCs w:val="24"/>
          <w:lang w:eastAsia="pt-BR"/>
        </w:rPr>
        <w:t>)</w:t>
      </w:r>
      <w:r w:rsidR="00BF0568" w:rsidRPr="00C000A1">
        <w:rPr>
          <w:rFonts w:asciiTheme="majorHAnsi" w:hAnsiTheme="majorHAnsi" w:cstheme="majorHAnsi"/>
          <w:sz w:val="24"/>
          <w:szCs w:val="24"/>
          <w:lang w:eastAsia="pt-BR"/>
        </w:rPr>
        <w:t xml:space="preserve"> ABC relativas aos (</w:t>
      </w:r>
      <w:r>
        <w:rPr>
          <w:rFonts w:asciiTheme="majorHAnsi" w:hAnsiTheme="majorHAnsi" w:cstheme="majorHAnsi"/>
          <w:sz w:val="24"/>
          <w:szCs w:val="24"/>
          <w:lang w:eastAsia="pt-BR"/>
        </w:rPr>
        <w:t xml:space="preserve"> </w:t>
      </w:r>
      <w:r>
        <w:rPr>
          <w:rFonts w:asciiTheme="majorHAnsi" w:hAnsiTheme="majorHAnsi" w:cstheme="majorHAnsi"/>
          <w:b/>
          <w:bCs/>
          <w:sz w:val="24"/>
          <w:szCs w:val="24"/>
          <w:u w:val="single"/>
          <w:lang w:eastAsia="pt-BR"/>
        </w:rPr>
        <w:t>X</w:t>
      </w:r>
      <w:r>
        <w:rPr>
          <w:rFonts w:asciiTheme="majorHAnsi" w:hAnsiTheme="majorHAnsi" w:cstheme="majorHAnsi"/>
          <w:sz w:val="24"/>
          <w:szCs w:val="24"/>
          <w:lang w:eastAsia="pt-BR"/>
        </w:rPr>
        <w:t xml:space="preserve"> </w:t>
      </w:r>
      <w:r w:rsidR="00BF0568" w:rsidRPr="00C000A1">
        <w:rPr>
          <w:rFonts w:asciiTheme="majorHAnsi" w:hAnsiTheme="majorHAnsi" w:cstheme="majorHAnsi"/>
          <w:sz w:val="24"/>
          <w:szCs w:val="24"/>
          <w:lang w:eastAsia="pt-BR"/>
        </w:rPr>
        <w:t xml:space="preserve">) </w:t>
      </w:r>
      <w:r w:rsidR="00BF0568">
        <w:rPr>
          <w:rFonts w:asciiTheme="majorHAnsi" w:hAnsiTheme="majorHAnsi" w:cstheme="majorHAnsi"/>
          <w:sz w:val="24"/>
          <w:szCs w:val="24"/>
          <w:lang w:eastAsia="pt-BR"/>
        </w:rPr>
        <w:t>INSUMOS</w:t>
      </w:r>
      <w:r w:rsidR="00BF0568" w:rsidRPr="00C000A1">
        <w:rPr>
          <w:rFonts w:asciiTheme="majorHAnsi" w:hAnsiTheme="majorHAnsi" w:cstheme="majorHAnsi"/>
          <w:sz w:val="24"/>
          <w:szCs w:val="24"/>
          <w:lang w:eastAsia="pt-BR"/>
        </w:rPr>
        <w:t xml:space="preserve"> e aos</w:t>
      </w:r>
      <w:r w:rsidR="00BF0568" w:rsidRPr="00C000A1">
        <w:rPr>
          <w:rFonts w:asciiTheme="majorHAnsi" w:hAnsiTheme="majorHAnsi" w:cstheme="majorHAnsi"/>
          <w:sz w:val="24"/>
          <w:szCs w:val="24"/>
        </w:rPr>
        <w:br/>
      </w:r>
      <w:r w:rsidR="00BF0568" w:rsidRPr="00C000A1">
        <w:rPr>
          <w:rFonts w:asciiTheme="majorHAnsi" w:hAnsiTheme="majorHAnsi" w:cstheme="majorHAnsi"/>
          <w:sz w:val="24"/>
          <w:szCs w:val="24"/>
          <w:lang w:eastAsia="pt-BR"/>
        </w:rPr>
        <w:t>(</w:t>
      </w:r>
      <w:r w:rsidR="00BF0568">
        <w:rPr>
          <w:rFonts w:asciiTheme="majorHAnsi" w:hAnsiTheme="majorHAnsi" w:cstheme="majorHAnsi"/>
          <w:sz w:val="24"/>
          <w:szCs w:val="24"/>
          <w:lang w:eastAsia="pt-BR"/>
        </w:rPr>
        <w:t xml:space="preserve">   </w:t>
      </w:r>
      <w:r w:rsidR="00BF0568" w:rsidRPr="00C000A1">
        <w:rPr>
          <w:rFonts w:asciiTheme="majorHAnsi" w:hAnsiTheme="majorHAnsi" w:cstheme="majorHAnsi"/>
          <w:sz w:val="24"/>
          <w:szCs w:val="24"/>
          <w:lang w:eastAsia="pt-BR"/>
        </w:rPr>
        <w:t xml:space="preserve">  ) </w:t>
      </w:r>
      <w:r w:rsidR="00BF0568">
        <w:rPr>
          <w:rFonts w:asciiTheme="majorHAnsi" w:hAnsiTheme="majorHAnsi" w:cstheme="majorHAnsi"/>
          <w:sz w:val="24"/>
          <w:szCs w:val="24"/>
          <w:lang w:eastAsia="pt-BR"/>
        </w:rPr>
        <w:t xml:space="preserve">SERVIÇOS, sob seguinte </w:t>
      </w:r>
      <w:r w:rsidR="00BF0568" w:rsidRPr="005325EB">
        <w:rPr>
          <w:rFonts w:asciiTheme="majorHAnsi" w:hAnsiTheme="majorHAnsi" w:cstheme="majorHAnsi"/>
          <w:b/>
          <w:bCs/>
          <w:sz w:val="24"/>
          <w:szCs w:val="24"/>
          <w:lang w:eastAsia="pt-BR"/>
        </w:rPr>
        <w:t>justificativa</w:t>
      </w:r>
      <w:r w:rsidR="00BF0568">
        <w:rPr>
          <w:rFonts w:asciiTheme="majorHAnsi" w:hAnsiTheme="majorHAnsi" w:cstheme="majorHAnsi"/>
          <w:sz w:val="24"/>
          <w:szCs w:val="24"/>
          <w:lang w:eastAsia="pt-BR"/>
        </w:rPr>
        <w:t>:</w:t>
      </w:r>
    </w:p>
    <w:p w14:paraId="5DF6CF8F" w14:textId="6FB51CB7" w:rsidR="00FE578A" w:rsidRPr="003B43F8" w:rsidRDefault="003B43F8" w:rsidP="00BF0568">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A CURVA ABC DE SERVIÇOS É OBSERVAVEL NA PLANILHA ORÇAMENTÁRIA JUNTADA. A CURVA ABC DE INSUMOS NÃO FORA JUNTADA, AO PROCESSO, VISTO O DEPARTAMENTO DE ENGENHARIA DO MUNICÍPIO DE MERCEDES NÃO POSSUIR SOFTWARE ESPECÍFICO PARA ORÇAMENTAÇÃO, CONTUDO, HAVENDO A NECESSIDADE, É POSSÍVEL ABRIR AS COMPOSIÇÕES DOS SERVIÇOS ELENCADOS E TRAÇAR A REFERIDA CURVA.</w:t>
      </w:r>
    </w:p>
    <w:p w14:paraId="26FDB4A5" w14:textId="6D64A88A" w:rsidR="00DC7BBD" w:rsidRDefault="001E704A"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8" w:history="1">
        <w:r w:rsidR="00DC7BBD" w:rsidRPr="00E04D41">
          <w:rPr>
            <w:rStyle w:val="Hyperlink"/>
            <w:rFonts w:asciiTheme="majorHAnsi" w:hAnsiTheme="majorHAnsi" w:cstheme="majorHAnsi"/>
            <w:sz w:val="24"/>
            <w:szCs w:val="24"/>
          </w:rPr>
          <w:t xml:space="preserve">Vide </w:t>
        </w:r>
        <w:r w:rsidR="00D053FD" w:rsidRPr="00E04D41">
          <w:rPr>
            <w:rStyle w:val="Hyperlink"/>
            <w:rFonts w:asciiTheme="majorHAnsi" w:hAnsiTheme="majorHAnsi" w:cstheme="majorHAnsi"/>
            <w:sz w:val="24"/>
            <w:szCs w:val="24"/>
          </w:rPr>
          <w:t xml:space="preserve">Nota Explicativa n. </w:t>
        </w:r>
        <w:r w:rsidR="00E04D41" w:rsidRPr="00E04D41">
          <w:rPr>
            <w:rStyle w:val="Hyperlink"/>
            <w:rFonts w:asciiTheme="majorHAnsi" w:hAnsiTheme="majorHAnsi" w:cstheme="majorHAnsi"/>
            <w:sz w:val="24"/>
            <w:szCs w:val="24"/>
          </w:rPr>
          <w:t>8</w:t>
        </w:r>
        <w:r w:rsidR="00D053FD" w:rsidRPr="00E04D41">
          <w:rPr>
            <w:rStyle w:val="Hyperlink"/>
            <w:rFonts w:asciiTheme="majorHAnsi" w:hAnsiTheme="majorHAnsi" w:cstheme="majorHAnsi"/>
            <w:sz w:val="24"/>
            <w:szCs w:val="24"/>
          </w:rPr>
          <w:t>.</w:t>
        </w:r>
      </w:hyperlink>
    </w:p>
    <w:p w14:paraId="630664CB" w14:textId="77777777" w:rsidR="00BF0568" w:rsidRPr="00C000A1" w:rsidRDefault="00BF0568"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13050C6A" w14:textId="4532AECE" w:rsidR="004F2005"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24" w:name="_Toc142556192"/>
      <w:bookmarkStart w:id="25" w:name="nt_9_retorno"/>
      <w:r w:rsidRPr="00C000A1">
        <w:rPr>
          <w:rFonts w:cstheme="majorHAnsi"/>
          <w:caps w:val="0"/>
          <w:szCs w:val="24"/>
        </w:rPr>
        <w:t>ADOÇÃO DO REGIME DE DESONERAÇÃO TRIBUTÁRIA</w:t>
      </w:r>
      <w:bookmarkEnd w:id="24"/>
    </w:p>
    <w:bookmarkEnd w:id="25"/>
    <w:p w14:paraId="25C8304B" w14:textId="2E3BECED" w:rsidR="00386752" w:rsidRPr="00C000A1" w:rsidRDefault="00386752" w:rsidP="00C000A1">
      <w:pPr>
        <w:pStyle w:val="Normal-TJTR"/>
        <w:spacing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 xml:space="preserve">Na presente licitação, serão adotados os custos de referência </w:t>
      </w:r>
      <w:proofErr w:type="gramStart"/>
      <w:r w:rsidRPr="00C000A1">
        <w:rPr>
          <w:rFonts w:asciiTheme="majorHAnsi" w:hAnsiTheme="majorHAnsi" w:cstheme="majorHAnsi"/>
          <w:sz w:val="24"/>
          <w:szCs w:val="24"/>
          <w:lang w:eastAsia="pt-BR"/>
        </w:rPr>
        <w:t>(</w:t>
      </w:r>
      <w:r w:rsidR="001A0B4C">
        <w:rPr>
          <w:rFonts w:asciiTheme="majorHAnsi" w:hAnsiTheme="majorHAnsi" w:cstheme="majorHAnsi"/>
          <w:sz w:val="24"/>
          <w:szCs w:val="24"/>
          <w:lang w:eastAsia="pt-BR"/>
        </w:rPr>
        <w:t xml:space="preserve"> </w:t>
      </w:r>
      <w:r w:rsidR="001A0B4C">
        <w:rPr>
          <w:rFonts w:asciiTheme="majorHAnsi" w:hAnsiTheme="majorHAnsi" w:cstheme="majorHAnsi"/>
          <w:b/>
          <w:bCs/>
          <w:sz w:val="24"/>
          <w:szCs w:val="24"/>
          <w:u w:val="single"/>
          <w:lang w:eastAsia="pt-BR"/>
        </w:rPr>
        <w:t>X</w:t>
      </w:r>
      <w:proofErr w:type="gramEnd"/>
      <w:r w:rsidR="001A0B4C">
        <w:rPr>
          <w:rFonts w:asciiTheme="majorHAnsi" w:hAnsiTheme="majorHAnsi" w:cstheme="majorHAnsi"/>
          <w:sz w:val="24"/>
          <w:szCs w:val="24"/>
          <w:lang w:eastAsia="pt-BR"/>
        </w:rPr>
        <w:t xml:space="preserve"> </w:t>
      </w:r>
      <w:r w:rsidRPr="00C000A1">
        <w:rPr>
          <w:rFonts w:asciiTheme="majorHAnsi" w:hAnsiTheme="majorHAnsi" w:cstheme="majorHAnsi"/>
          <w:sz w:val="24"/>
          <w:szCs w:val="24"/>
          <w:lang w:eastAsia="pt-BR"/>
        </w:rPr>
        <w:t xml:space="preserve">) DESONERADOS </w:t>
      </w:r>
      <w:r w:rsidR="00D81E09">
        <w:rPr>
          <w:rFonts w:asciiTheme="majorHAnsi" w:hAnsiTheme="majorHAnsi" w:cstheme="majorHAnsi"/>
          <w:sz w:val="24"/>
          <w:szCs w:val="24"/>
          <w:lang w:eastAsia="pt-BR"/>
        </w:rPr>
        <w:t xml:space="preserve">ou </w:t>
      </w:r>
      <w:r w:rsidRPr="00C000A1">
        <w:rPr>
          <w:rFonts w:asciiTheme="majorHAnsi" w:hAnsiTheme="majorHAnsi" w:cstheme="majorHAnsi"/>
          <w:sz w:val="24"/>
          <w:szCs w:val="24"/>
          <w:lang w:eastAsia="pt-BR"/>
        </w:rPr>
        <w:t>(</w:t>
      </w:r>
      <w:r w:rsidR="002B7255">
        <w:rPr>
          <w:rFonts w:asciiTheme="majorHAnsi" w:hAnsiTheme="majorHAnsi" w:cstheme="majorHAnsi"/>
          <w:sz w:val="24"/>
          <w:szCs w:val="24"/>
          <w:lang w:eastAsia="pt-BR"/>
        </w:rPr>
        <w:t xml:space="preserve">  </w:t>
      </w:r>
      <w:r w:rsidRPr="00C000A1">
        <w:rPr>
          <w:rFonts w:asciiTheme="majorHAnsi" w:hAnsiTheme="majorHAnsi" w:cstheme="majorHAnsi"/>
          <w:sz w:val="24"/>
          <w:szCs w:val="24"/>
          <w:lang w:eastAsia="pt-BR"/>
        </w:rPr>
        <w:t>) NÃO DESONERADOS, por se tratar da opção mais vantajosa para a Administração,</w:t>
      </w:r>
      <w:r w:rsidR="374295D6" w:rsidRPr="00C000A1">
        <w:rPr>
          <w:rFonts w:asciiTheme="majorHAnsi" w:hAnsiTheme="majorHAnsi" w:cstheme="majorHAnsi"/>
          <w:sz w:val="24"/>
          <w:szCs w:val="24"/>
          <w:lang w:eastAsia="pt-BR"/>
        </w:rPr>
        <w:t xml:space="preserve"> </w:t>
      </w:r>
      <w:r w:rsidRPr="00C000A1">
        <w:rPr>
          <w:rFonts w:asciiTheme="majorHAnsi" w:hAnsiTheme="majorHAnsi" w:cstheme="majorHAnsi"/>
          <w:sz w:val="24"/>
          <w:szCs w:val="24"/>
          <w:lang w:eastAsia="pt-BR"/>
        </w:rPr>
        <w:t>conforme simulação</w:t>
      </w:r>
      <w:r w:rsidR="00F61C24" w:rsidRPr="00C000A1">
        <w:rPr>
          <w:rFonts w:asciiTheme="majorHAnsi" w:hAnsiTheme="majorHAnsi" w:cstheme="majorHAnsi"/>
          <w:sz w:val="24"/>
          <w:szCs w:val="24"/>
          <w:lang w:eastAsia="pt-BR"/>
        </w:rPr>
        <w:t xml:space="preserve"> </w:t>
      </w:r>
      <w:r w:rsidRPr="00C000A1">
        <w:rPr>
          <w:rFonts w:asciiTheme="majorHAnsi" w:hAnsiTheme="majorHAnsi" w:cstheme="majorHAnsi"/>
          <w:sz w:val="24"/>
          <w:szCs w:val="24"/>
          <w:lang w:eastAsia="pt-BR"/>
        </w:rPr>
        <w:t xml:space="preserve">juntada aos autos </w:t>
      </w:r>
      <w:r w:rsidRPr="00C000A1">
        <w:rPr>
          <w:rFonts w:asciiTheme="majorHAnsi" w:hAnsiTheme="majorHAnsi" w:cstheme="majorHAnsi"/>
          <w:sz w:val="24"/>
          <w:szCs w:val="24"/>
        </w:rPr>
        <w:t>(</w:t>
      </w:r>
      <w:r w:rsidRPr="00C000A1">
        <w:rPr>
          <w:rFonts w:asciiTheme="majorHAnsi" w:hAnsiTheme="majorHAnsi" w:cstheme="majorHAnsi"/>
          <w:i/>
          <w:iCs/>
          <w:sz w:val="24"/>
          <w:szCs w:val="24"/>
        </w:rPr>
        <w:t>preencher</w:t>
      </w:r>
      <w:r w:rsidR="00F61C24" w:rsidRPr="00C000A1">
        <w:rPr>
          <w:rFonts w:asciiTheme="majorHAnsi" w:hAnsiTheme="majorHAnsi" w:cstheme="majorHAnsi"/>
          <w:i/>
          <w:iCs/>
          <w:sz w:val="24"/>
          <w:szCs w:val="24"/>
        </w:rPr>
        <w:t>,</w:t>
      </w:r>
      <w:r w:rsidRPr="00C000A1">
        <w:rPr>
          <w:rFonts w:asciiTheme="majorHAnsi" w:hAnsiTheme="majorHAnsi" w:cstheme="majorHAnsi"/>
          <w:i/>
          <w:iCs/>
          <w:sz w:val="24"/>
          <w:szCs w:val="24"/>
        </w:rPr>
        <w:t xml:space="preserve"> se necessário</w:t>
      </w:r>
      <w:r w:rsidR="00F61C24" w:rsidRPr="00C000A1">
        <w:rPr>
          <w:rFonts w:asciiTheme="majorHAnsi" w:hAnsiTheme="majorHAnsi" w:cstheme="majorHAnsi"/>
          <w:i/>
          <w:iCs/>
          <w:sz w:val="24"/>
          <w:szCs w:val="24"/>
        </w:rPr>
        <w:t>, para outras considerações</w:t>
      </w:r>
      <w:r w:rsidRPr="00C000A1">
        <w:rPr>
          <w:rFonts w:asciiTheme="majorHAnsi" w:hAnsiTheme="majorHAnsi" w:cstheme="majorHAnsi"/>
          <w:sz w:val="24"/>
          <w:szCs w:val="24"/>
        </w:rPr>
        <w:t>):</w:t>
      </w:r>
    </w:p>
    <w:p w14:paraId="24ED9D4B" w14:textId="101E6E38" w:rsidR="007064AE" w:rsidRDefault="007064AE" w:rsidP="007064AE">
      <w:pPr>
        <w:pStyle w:val="TextoAGU"/>
        <w:numPr>
          <w:ilvl w:val="0"/>
          <w:numId w:val="0"/>
        </w:numPr>
        <w:tabs>
          <w:tab w:val="clear" w:pos="1418"/>
        </w:tabs>
        <w:spacing w:before="0" w:after="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CUSTOS DIRETOS:</w:t>
      </w:r>
    </w:p>
    <w:p w14:paraId="7A772006" w14:textId="0476EE3E" w:rsidR="007064AE" w:rsidRDefault="007064AE" w:rsidP="007064AE">
      <w:pPr>
        <w:pStyle w:val="TextoAGU"/>
        <w:numPr>
          <w:ilvl w:val="0"/>
          <w:numId w:val="0"/>
        </w:numPr>
        <w:tabs>
          <w:tab w:val="clear" w:pos="1418"/>
        </w:tabs>
        <w:spacing w:before="0" w:after="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 xml:space="preserve">COM DESONERAÇÃO: R$ </w:t>
      </w:r>
      <w:r w:rsidR="00A86D69">
        <w:rPr>
          <w:rFonts w:asciiTheme="majorHAnsi" w:hAnsiTheme="majorHAnsi" w:cstheme="majorHAnsi"/>
          <w:b/>
          <w:bCs/>
          <w:sz w:val="24"/>
          <w:szCs w:val="24"/>
          <w:u w:val="single"/>
          <w:lang w:eastAsia="pt-BR"/>
        </w:rPr>
        <w:t>256.939,90</w:t>
      </w:r>
    </w:p>
    <w:p w14:paraId="247767F1" w14:textId="1D5C4115" w:rsidR="005D603D" w:rsidRPr="007064AE" w:rsidRDefault="007064AE" w:rsidP="007064AE">
      <w:pPr>
        <w:pStyle w:val="TextoAGU"/>
        <w:numPr>
          <w:ilvl w:val="0"/>
          <w:numId w:val="0"/>
        </w:numPr>
        <w:tabs>
          <w:tab w:val="clear" w:pos="1418"/>
        </w:tabs>
        <w:spacing w:before="0" w:after="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 xml:space="preserve">SEM DESONERAÇÃO: R$ </w:t>
      </w:r>
      <w:r w:rsidR="00A86D69">
        <w:rPr>
          <w:rFonts w:asciiTheme="majorHAnsi" w:hAnsiTheme="majorHAnsi" w:cstheme="majorHAnsi"/>
          <w:b/>
          <w:bCs/>
          <w:sz w:val="24"/>
          <w:szCs w:val="24"/>
          <w:u w:val="single"/>
          <w:lang w:eastAsia="pt-BR"/>
        </w:rPr>
        <w:t>260.143,59</w:t>
      </w:r>
    </w:p>
    <w:p w14:paraId="5FC022A5" w14:textId="77777777" w:rsidR="005D603D" w:rsidRDefault="005D603D" w:rsidP="00C000A1">
      <w:pPr>
        <w:pStyle w:val="TextoAGU"/>
        <w:numPr>
          <w:ilvl w:val="0"/>
          <w:numId w:val="0"/>
        </w:numPr>
        <w:tabs>
          <w:tab w:val="clear" w:pos="1418"/>
        </w:tabs>
        <w:spacing w:before="0" w:after="360"/>
      </w:pPr>
    </w:p>
    <w:p w14:paraId="0EF188DB" w14:textId="5D068F9B" w:rsidR="00DC7BBD" w:rsidRDefault="001E704A" w:rsidP="00C000A1">
      <w:pPr>
        <w:pStyle w:val="TextoAGU"/>
        <w:numPr>
          <w:ilvl w:val="0"/>
          <w:numId w:val="0"/>
        </w:numPr>
        <w:tabs>
          <w:tab w:val="clear" w:pos="1418"/>
        </w:tabs>
        <w:spacing w:before="0" w:after="360"/>
        <w:rPr>
          <w:rStyle w:val="Hyperlink"/>
          <w:rFonts w:asciiTheme="majorHAnsi" w:hAnsiTheme="majorHAnsi" w:cstheme="majorHAnsi"/>
          <w:sz w:val="24"/>
          <w:szCs w:val="24"/>
        </w:rPr>
      </w:pPr>
      <w:hyperlink w:anchor="nt_9" w:history="1">
        <w:r w:rsidR="00DC7BBD" w:rsidRPr="00E04D41">
          <w:rPr>
            <w:rStyle w:val="Hyperlink"/>
            <w:rFonts w:asciiTheme="majorHAnsi" w:hAnsiTheme="majorHAnsi" w:cstheme="majorHAnsi"/>
            <w:sz w:val="24"/>
            <w:szCs w:val="24"/>
          </w:rPr>
          <w:t xml:space="preserve">Vide </w:t>
        </w:r>
        <w:r w:rsidR="00D053FD" w:rsidRPr="00E04D41">
          <w:rPr>
            <w:rStyle w:val="Hyperlink"/>
            <w:rFonts w:asciiTheme="majorHAnsi" w:hAnsiTheme="majorHAnsi" w:cstheme="majorHAnsi"/>
            <w:sz w:val="24"/>
            <w:szCs w:val="24"/>
          </w:rPr>
          <w:t xml:space="preserve">Nota Explicativa n. </w:t>
        </w:r>
        <w:r w:rsidR="00E04D41" w:rsidRPr="00E04D41">
          <w:rPr>
            <w:rStyle w:val="Hyperlink"/>
            <w:rFonts w:asciiTheme="majorHAnsi" w:hAnsiTheme="majorHAnsi" w:cstheme="majorHAnsi"/>
            <w:sz w:val="24"/>
            <w:szCs w:val="24"/>
          </w:rPr>
          <w:t>9</w:t>
        </w:r>
        <w:r w:rsidR="00D053FD" w:rsidRPr="00E04D41">
          <w:rPr>
            <w:rStyle w:val="Hyperlink"/>
            <w:rFonts w:asciiTheme="majorHAnsi" w:hAnsiTheme="majorHAnsi" w:cstheme="majorHAnsi"/>
            <w:sz w:val="24"/>
            <w:szCs w:val="24"/>
          </w:rPr>
          <w:t>.</w:t>
        </w:r>
      </w:hyperlink>
    </w:p>
    <w:p w14:paraId="5D8C1D31" w14:textId="77777777" w:rsidR="005D603D" w:rsidRDefault="005D603D"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6542D9C2" w14:textId="5A77EC15" w:rsidR="00CE7262"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26" w:name="_Toc142556193"/>
      <w:bookmarkStart w:id="27" w:name="nt_10_retorno"/>
      <w:r w:rsidRPr="00C000A1">
        <w:rPr>
          <w:rFonts w:cstheme="majorHAnsi"/>
          <w:caps w:val="0"/>
          <w:szCs w:val="24"/>
        </w:rPr>
        <w:t>DETALHAMENTO DA COMPOSIÇÃO DO PERCENTUAL DE BDI</w:t>
      </w:r>
      <w:bookmarkEnd w:id="26"/>
    </w:p>
    <w:bookmarkEnd w:id="27"/>
    <w:p w14:paraId="4F375754" w14:textId="3E5A76C4" w:rsidR="0099200C" w:rsidRPr="00C000A1" w:rsidRDefault="0099200C"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Na presente licitação, o detalhamento do BDI:</w:t>
      </w:r>
      <w:r w:rsidR="00EE5D58">
        <w:rPr>
          <w:rFonts w:asciiTheme="majorHAnsi" w:hAnsiTheme="majorHAnsi" w:cstheme="majorHAnsi"/>
          <w:sz w:val="24"/>
          <w:szCs w:val="24"/>
        </w:rPr>
        <w:t xml:space="preserve"> </w:t>
      </w:r>
      <w:proofErr w:type="gramStart"/>
      <w:r w:rsidRPr="00C000A1">
        <w:rPr>
          <w:rFonts w:asciiTheme="majorHAnsi" w:hAnsiTheme="majorHAnsi" w:cstheme="majorHAnsi"/>
          <w:sz w:val="24"/>
          <w:szCs w:val="24"/>
        </w:rPr>
        <w:t>(</w:t>
      </w:r>
      <w:r w:rsidR="007064AE">
        <w:rPr>
          <w:rFonts w:asciiTheme="majorHAnsi" w:hAnsiTheme="majorHAnsi" w:cstheme="majorHAnsi"/>
          <w:sz w:val="24"/>
          <w:szCs w:val="24"/>
        </w:rPr>
        <w:t xml:space="preserve"> </w:t>
      </w:r>
      <w:r w:rsidR="007064AE">
        <w:rPr>
          <w:rFonts w:asciiTheme="majorHAnsi" w:hAnsiTheme="majorHAnsi" w:cstheme="majorHAnsi"/>
          <w:b/>
          <w:bCs/>
          <w:sz w:val="24"/>
          <w:szCs w:val="24"/>
          <w:u w:val="single"/>
        </w:rPr>
        <w:t>X</w:t>
      </w:r>
      <w:proofErr w:type="gramEnd"/>
      <w:r w:rsidR="007064AE">
        <w:rPr>
          <w:rFonts w:asciiTheme="majorHAnsi" w:hAnsiTheme="majorHAnsi" w:cstheme="majorHAnsi"/>
          <w:sz w:val="24"/>
          <w:szCs w:val="24"/>
        </w:rPr>
        <w:t xml:space="preserve"> </w:t>
      </w:r>
      <w:r w:rsidRPr="00C000A1">
        <w:rPr>
          <w:rFonts w:asciiTheme="majorHAnsi" w:hAnsiTheme="majorHAnsi" w:cstheme="majorHAnsi"/>
          <w:sz w:val="24"/>
          <w:szCs w:val="24"/>
        </w:rPr>
        <w:t>) observa os parâmetros do Acórdão n. 2.622</w:t>
      </w:r>
      <w:r w:rsidR="005325EB">
        <w:rPr>
          <w:rFonts w:asciiTheme="majorHAnsi" w:hAnsiTheme="majorHAnsi" w:cstheme="majorHAnsi"/>
          <w:sz w:val="24"/>
          <w:szCs w:val="24"/>
        </w:rPr>
        <w:t xml:space="preserve">, de </w:t>
      </w:r>
      <w:r w:rsidRPr="00C000A1">
        <w:rPr>
          <w:rFonts w:asciiTheme="majorHAnsi" w:hAnsiTheme="majorHAnsi" w:cstheme="majorHAnsi"/>
          <w:sz w:val="24"/>
          <w:szCs w:val="24"/>
        </w:rPr>
        <w:t xml:space="preserve">2013 - Plenário do </w:t>
      </w:r>
      <w:r w:rsidR="00C539A8" w:rsidRPr="00C000A1">
        <w:rPr>
          <w:rFonts w:asciiTheme="majorHAnsi" w:hAnsiTheme="majorHAnsi" w:cstheme="majorHAnsi"/>
          <w:sz w:val="24"/>
          <w:szCs w:val="24"/>
        </w:rPr>
        <w:t>Tribunal de Contas da União.</w:t>
      </w:r>
    </w:p>
    <w:p w14:paraId="191E0EBB" w14:textId="270D0039" w:rsidR="0099200C" w:rsidRPr="00C000A1" w:rsidRDefault="0099200C"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Foram adotados os seguintes parâmetros de percentuais para cada item do BDI contemplado no Acórdão n</w:t>
      </w:r>
      <w:r w:rsidR="00C539A8" w:rsidRPr="00C000A1">
        <w:rPr>
          <w:rFonts w:asciiTheme="majorHAnsi" w:hAnsiTheme="majorHAnsi" w:cstheme="majorHAnsi"/>
          <w:sz w:val="24"/>
          <w:szCs w:val="24"/>
        </w:rPr>
        <w:t>.</w:t>
      </w:r>
      <w:r w:rsidRPr="00C000A1">
        <w:rPr>
          <w:rFonts w:asciiTheme="majorHAnsi" w:hAnsiTheme="majorHAnsi" w:cstheme="majorHAnsi"/>
          <w:sz w:val="24"/>
          <w:szCs w:val="24"/>
        </w:rPr>
        <w:t xml:space="preserve"> 2.622/2013 - Plenário do TCU, de acordo com as </w:t>
      </w:r>
      <w:r w:rsidRPr="00C000A1">
        <w:rPr>
          <w:rFonts w:asciiTheme="majorHAnsi" w:hAnsiTheme="majorHAnsi" w:cstheme="majorHAnsi"/>
          <w:b/>
          <w:bCs/>
          <w:sz w:val="24"/>
          <w:szCs w:val="24"/>
        </w:rPr>
        <w:t>justificativas</w:t>
      </w:r>
      <w:r w:rsidRPr="00C000A1">
        <w:rPr>
          <w:rFonts w:asciiTheme="majorHAnsi" w:hAnsiTheme="majorHAnsi" w:cstheme="majorHAnsi"/>
          <w:sz w:val="24"/>
          <w:szCs w:val="24"/>
        </w:rPr>
        <w:t xml:space="preserve"> técnicas abaixo apresentadas</w:t>
      </w:r>
      <w:r w:rsidR="006703E3" w:rsidRPr="00C000A1">
        <w:rPr>
          <w:rFonts w:asciiTheme="majorHAnsi" w:hAnsiTheme="majorHAnsi" w:cstheme="majorHAnsi"/>
          <w:sz w:val="24"/>
          <w:szCs w:val="24"/>
        </w:rPr>
        <w:t xml:space="preserve"> </w:t>
      </w:r>
      <w:r w:rsidR="006703E3" w:rsidRPr="00C000A1">
        <w:rPr>
          <w:rFonts w:asciiTheme="majorHAnsi" w:hAnsiTheme="majorHAnsi" w:cstheme="majorHAnsi"/>
          <w:b/>
          <w:bCs/>
          <w:sz w:val="24"/>
          <w:szCs w:val="24"/>
        </w:rPr>
        <w:t xml:space="preserve">para os casos em que não foi adotado </w:t>
      </w:r>
      <w:r w:rsidR="00190820" w:rsidRPr="00C000A1">
        <w:rPr>
          <w:rFonts w:asciiTheme="majorHAnsi" w:hAnsiTheme="majorHAnsi" w:cstheme="majorHAnsi"/>
          <w:b/>
          <w:bCs/>
          <w:sz w:val="24"/>
          <w:szCs w:val="24"/>
        </w:rPr>
        <w:t>o</w:t>
      </w:r>
      <w:r w:rsidR="006703E3" w:rsidRPr="00C000A1">
        <w:rPr>
          <w:rFonts w:asciiTheme="majorHAnsi" w:hAnsiTheme="majorHAnsi" w:cstheme="majorHAnsi"/>
          <w:b/>
          <w:bCs/>
          <w:sz w:val="24"/>
          <w:szCs w:val="24"/>
        </w:rPr>
        <w:t xml:space="preserve"> médi</w:t>
      </w:r>
      <w:r w:rsidR="00190820" w:rsidRPr="00C000A1">
        <w:rPr>
          <w:rFonts w:asciiTheme="majorHAnsi" w:hAnsiTheme="majorHAnsi" w:cstheme="majorHAnsi"/>
          <w:b/>
          <w:bCs/>
          <w:sz w:val="24"/>
          <w:szCs w:val="24"/>
        </w:rPr>
        <w:t>o</w:t>
      </w:r>
      <w:r w:rsidR="006703E3" w:rsidRPr="00C000A1">
        <w:rPr>
          <w:rFonts w:asciiTheme="majorHAnsi" w:hAnsiTheme="majorHAnsi" w:cstheme="majorHAnsi"/>
          <w:sz w:val="24"/>
          <w:szCs w:val="24"/>
        </w:rPr>
        <w:t>:</w:t>
      </w:r>
    </w:p>
    <w:p w14:paraId="3127CDE9" w14:textId="64AF7D17" w:rsidR="0099200C" w:rsidRPr="00C000A1" w:rsidRDefault="23AF57AA"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lastRenderedPageBreak/>
        <w:t xml:space="preserve">Administração central: </w:t>
      </w:r>
      <w:proofErr w:type="gramStart"/>
      <w:r w:rsidRPr="00C000A1">
        <w:rPr>
          <w:rFonts w:asciiTheme="majorHAnsi" w:hAnsiTheme="majorHAnsi" w:cstheme="majorHAnsi"/>
          <w:sz w:val="24"/>
          <w:szCs w:val="24"/>
        </w:rPr>
        <w:t>(</w:t>
      </w:r>
      <w:r w:rsidR="001A0B4C">
        <w:rPr>
          <w:rFonts w:asciiTheme="majorHAnsi" w:hAnsiTheme="majorHAnsi" w:cstheme="majorHAnsi"/>
          <w:sz w:val="24"/>
          <w:szCs w:val="24"/>
        </w:rPr>
        <w:t xml:space="preserve"> </w:t>
      </w:r>
      <w:r w:rsidR="00A60E5C">
        <w:rPr>
          <w:rFonts w:asciiTheme="majorHAnsi" w:hAnsiTheme="majorHAnsi" w:cstheme="majorHAnsi"/>
          <w:sz w:val="24"/>
          <w:szCs w:val="24"/>
        </w:rPr>
        <w:t xml:space="preserve"> </w:t>
      </w:r>
      <w:proofErr w:type="gramEnd"/>
      <w:r w:rsidR="001A0B4C">
        <w:rPr>
          <w:rFonts w:asciiTheme="majorHAnsi" w:hAnsiTheme="majorHAnsi" w:cstheme="majorHAnsi"/>
          <w:sz w:val="24"/>
          <w:szCs w:val="24"/>
        </w:rPr>
        <w:t xml:space="preserve"> </w:t>
      </w:r>
      <w:r w:rsidRPr="00C000A1">
        <w:rPr>
          <w:rFonts w:asciiTheme="majorHAnsi" w:hAnsiTheme="majorHAnsi" w:cstheme="majorHAnsi"/>
          <w:sz w:val="24"/>
          <w:szCs w:val="24"/>
        </w:rPr>
        <w:t xml:space="preserve">) 1º quartil </w:t>
      </w:r>
      <w:r w:rsidR="00D81886">
        <w:rPr>
          <w:rFonts w:asciiTheme="majorHAnsi" w:hAnsiTheme="majorHAnsi" w:cstheme="majorHAnsi"/>
          <w:sz w:val="24"/>
          <w:szCs w:val="24"/>
        </w:rPr>
        <w:t xml:space="preserve">ou </w:t>
      </w:r>
      <w:r w:rsidR="00D81886" w:rsidRPr="00C000A1">
        <w:rPr>
          <w:rFonts w:asciiTheme="majorHAnsi" w:hAnsiTheme="majorHAnsi" w:cstheme="majorHAnsi"/>
          <w:sz w:val="24"/>
          <w:szCs w:val="24"/>
        </w:rPr>
        <w:t>(</w:t>
      </w:r>
      <w:r w:rsidR="00A60E5C">
        <w:rPr>
          <w:rFonts w:asciiTheme="majorHAnsi" w:hAnsiTheme="majorHAnsi" w:cstheme="majorHAnsi"/>
          <w:sz w:val="24"/>
          <w:szCs w:val="24"/>
        </w:rPr>
        <w:t xml:space="preserve"> </w:t>
      </w:r>
      <w:r w:rsidR="00A60E5C">
        <w:rPr>
          <w:rFonts w:asciiTheme="majorHAnsi" w:hAnsiTheme="majorHAnsi" w:cstheme="majorHAnsi"/>
          <w:b/>
          <w:bCs/>
          <w:sz w:val="24"/>
          <w:szCs w:val="24"/>
          <w:u w:val="single"/>
        </w:rPr>
        <w:t>X</w:t>
      </w:r>
      <w:r w:rsidR="007064AE">
        <w:rPr>
          <w:rFonts w:asciiTheme="majorHAnsi" w:hAnsiTheme="majorHAnsi" w:cstheme="majorHAnsi"/>
          <w:sz w:val="24"/>
          <w:szCs w:val="24"/>
        </w:rPr>
        <w:t xml:space="preserve"> </w:t>
      </w:r>
      <w:r w:rsidR="00D81886" w:rsidRPr="00C000A1">
        <w:rPr>
          <w:rFonts w:asciiTheme="majorHAnsi" w:hAnsiTheme="majorHAnsi" w:cstheme="majorHAnsi"/>
          <w:sz w:val="24"/>
          <w:szCs w:val="24"/>
        </w:rPr>
        <w:t xml:space="preserve">) </w:t>
      </w:r>
      <w:r w:rsidR="00D81886">
        <w:rPr>
          <w:rFonts w:asciiTheme="majorHAnsi" w:hAnsiTheme="majorHAnsi" w:cstheme="majorHAnsi"/>
          <w:sz w:val="24"/>
          <w:szCs w:val="24"/>
        </w:rPr>
        <w:t xml:space="preserve">quartil </w:t>
      </w:r>
      <w:r w:rsidR="00D81886" w:rsidRPr="00C000A1">
        <w:rPr>
          <w:rFonts w:asciiTheme="majorHAnsi" w:hAnsiTheme="majorHAnsi" w:cstheme="majorHAnsi"/>
          <w:sz w:val="24"/>
          <w:szCs w:val="24"/>
        </w:rPr>
        <w:t>médio</w:t>
      </w:r>
      <w:r w:rsidR="00D81886">
        <w:rPr>
          <w:rFonts w:asciiTheme="majorHAnsi" w:hAnsiTheme="majorHAnsi" w:cstheme="majorHAnsi"/>
          <w:sz w:val="24"/>
          <w:szCs w:val="24"/>
        </w:rPr>
        <w:t xml:space="preserve"> ou</w:t>
      </w:r>
      <w:r w:rsidRPr="00C000A1">
        <w:rPr>
          <w:rFonts w:asciiTheme="majorHAnsi" w:hAnsiTheme="majorHAnsi" w:cstheme="majorHAnsi"/>
          <w:sz w:val="24"/>
          <w:szCs w:val="24"/>
        </w:rPr>
        <w:t xml:space="preserve"> (</w:t>
      </w:r>
      <w:r w:rsidR="00A60E5C">
        <w:rPr>
          <w:rFonts w:asciiTheme="majorHAnsi" w:hAnsiTheme="majorHAnsi" w:cstheme="majorHAnsi"/>
          <w:sz w:val="24"/>
          <w:szCs w:val="24"/>
        </w:rPr>
        <w:t xml:space="preserve"> </w:t>
      </w:r>
      <w:r w:rsidR="00A60E5C">
        <w:rPr>
          <w:rFonts w:asciiTheme="majorHAnsi" w:hAnsiTheme="majorHAnsi" w:cstheme="majorHAnsi"/>
          <w:b/>
          <w:bCs/>
          <w:sz w:val="24"/>
          <w:szCs w:val="24"/>
          <w:u w:val="single"/>
        </w:rPr>
        <w:t>X</w:t>
      </w:r>
      <w:r w:rsidR="007064AE">
        <w:rPr>
          <w:rFonts w:asciiTheme="majorHAnsi" w:hAnsiTheme="majorHAnsi" w:cstheme="majorHAnsi"/>
          <w:sz w:val="24"/>
          <w:szCs w:val="24"/>
        </w:rPr>
        <w:t xml:space="preserve"> </w:t>
      </w:r>
      <w:r w:rsidRPr="00C000A1">
        <w:rPr>
          <w:rFonts w:asciiTheme="majorHAnsi" w:hAnsiTheme="majorHAnsi" w:cstheme="majorHAnsi"/>
          <w:sz w:val="24"/>
          <w:szCs w:val="24"/>
        </w:rPr>
        <w:t>) 3º quartil:</w:t>
      </w:r>
    </w:p>
    <w:p w14:paraId="3505137B" w14:textId="1950503E" w:rsidR="00A15C6E" w:rsidRPr="007064AE" w:rsidRDefault="007064AE" w:rsidP="00C000A1">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ENTRE</w:t>
      </w:r>
      <w:r w:rsidR="001A0B4C">
        <w:rPr>
          <w:rFonts w:asciiTheme="majorHAnsi" w:hAnsiTheme="majorHAnsi" w:cstheme="majorHAnsi"/>
          <w:b/>
          <w:bCs/>
          <w:sz w:val="24"/>
          <w:szCs w:val="24"/>
          <w:u w:val="single"/>
          <w:lang w:eastAsia="pt-BR"/>
        </w:rPr>
        <w:t xml:space="preserve"> </w:t>
      </w:r>
      <w:r>
        <w:rPr>
          <w:rFonts w:asciiTheme="majorHAnsi" w:hAnsiTheme="majorHAnsi" w:cstheme="majorHAnsi"/>
          <w:b/>
          <w:bCs/>
          <w:sz w:val="24"/>
          <w:szCs w:val="24"/>
          <w:u w:val="single"/>
          <w:lang w:eastAsia="pt-BR"/>
        </w:rPr>
        <w:t>MÉDIO</w:t>
      </w:r>
      <w:r w:rsidR="00A60E5C">
        <w:rPr>
          <w:rFonts w:asciiTheme="majorHAnsi" w:hAnsiTheme="majorHAnsi" w:cstheme="majorHAnsi"/>
          <w:b/>
          <w:bCs/>
          <w:sz w:val="24"/>
          <w:szCs w:val="24"/>
          <w:u w:val="single"/>
          <w:lang w:eastAsia="pt-BR"/>
        </w:rPr>
        <w:t xml:space="preserve"> E 3º</w:t>
      </w:r>
      <w:r w:rsidR="001A0B4C">
        <w:rPr>
          <w:rFonts w:asciiTheme="majorHAnsi" w:hAnsiTheme="majorHAnsi" w:cstheme="majorHAnsi"/>
          <w:b/>
          <w:bCs/>
          <w:sz w:val="24"/>
          <w:szCs w:val="24"/>
          <w:u w:val="single"/>
          <w:lang w:eastAsia="pt-BR"/>
        </w:rPr>
        <w:t xml:space="preserve"> QUARTIL</w:t>
      </w:r>
      <w:r>
        <w:rPr>
          <w:rFonts w:asciiTheme="majorHAnsi" w:hAnsiTheme="majorHAnsi" w:cstheme="majorHAnsi"/>
          <w:b/>
          <w:bCs/>
          <w:sz w:val="24"/>
          <w:szCs w:val="24"/>
          <w:u w:val="single"/>
          <w:lang w:eastAsia="pt-BR"/>
        </w:rPr>
        <w:t>. PRESERVADO O INTERVALO PERMITIDO PELO ACÓRDÃO N. 2.622/2013.</w:t>
      </w:r>
    </w:p>
    <w:p w14:paraId="010DA582" w14:textId="25E0E2D3" w:rsidR="0099200C" w:rsidRPr="00C000A1" w:rsidRDefault="0099200C" w:rsidP="00C000A1">
      <w:pPr>
        <w:pStyle w:val="Normal-TJTR"/>
        <w:spacing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Seguro e garantia:</w:t>
      </w:r>
      <w:r w:rsidRPr="00C000A1">
        <w:rPr>
          <w:rFonts w:asciiTheme="majorHAnsi" w:hAnsiTheme="majorHAnsi" w:cstheme="majorHAnsi"/>
          <w:sz w:val="24"/>
          <w:szCs w:val="24"/>
        </w:rPr>
        <w:t xml:space="preserve"> </w:t>
      </w:r>
      <w:proofErr w:type="gramStart"/>
      <w:r w:rsidRPr="00C000A1">
        <w:rPr>
          <w:rFonts w:asciiTheme="majorHAnsi" w:hAnsiTheme="majorHAnsi" w:cstheme="majorHAnsi"/>
          <w:sz w:val="24"/>
          <w:szCs w:val="24"/>
        </w:rPr>
        <w:t>(</w:t>
      </w:r>
      <w:r w:rsidR="007064AE">
        <w:rPr>
          <w:rFonts w:asciiTheme="majorHAnsi" w:hAnsiTheme="majorHAnsi" w:cstheme="majorHAnsi"/>
          <w:sz w:val="24"/>
          <w:szCs w:val="24"/>
        </w:rPr>
        <w:t xml:space="preserve">  </w:t>
      </w:r>
      <w:proofErr w:type="gramEnd"/>
      <w:r w:rsidR="007064AE">
        <w:rPr>
          <w:rFonts w:asciiTheme="majorHAnsi" w:hAnsiTheme="majorHAnsi" w:cstheme="majorHAnsi"/>
          <w:sz w:val="24"/>
          <w:szCs w:val="24"/>
        </w:rPr>
        <w:t xml:space="preserve"> </w:t>
      </w:r>
      <w:r w:rsidRPr="00C000A1">
        <w:rPr>
          <w:rFonts w:asciiTheme="majorHAnsi" w:hAnsiTheme="majorHAnsi" w:cstheme="majorHAnsi"/>
          <w:sz w:val="24"/>
          <w:szCs w:val="24"/>
        </w:rPr>
        <w:t>) 1º quartil ou (</w:t>
      </w:r>
      <w:r w:rsidR="00A60E5C">
        <w:rPr>
          <w:rFonts w:asciiTheme="majorHAnsi" w:hAnsiTheme="majorHAnsi" w:cstheme="majorHAnsi"/>
          <w:sz w:val="24"/>
          <w:szCs w:val="24"/>
        </w:rPr>
        <w:t xml:space="preserve"> </w:t>
      </w:r>
      <w:r w:rsidR="00A60E5C">
        <w:rPr>
          <w:rFonts w:asciiTheme="majorHAnsi" w:hAnsiTheme="majorHAnsi" w:cstheme="majorHAnsi"/>
          <w:b/>
          <w:bCs/>
          <w:sz w:val="24"/>
          <w:szCs w:val="24"/>
          <w:u w:val="single"/>
        </w:rPr>
        <w:t>X</w:t>
      </w:r>
      <w:r w:rsidR="00A60E5C">
        <w:rPr>
          <w:rFonts w:asciiTheme="majorHAnsi" w:hAnsiTheme="majorHAnsi" w:cstheme="majorHAnsi"/>
          <w:sz w:val="24"/>
          <w:szCs w:val="24"/>
        </w:rPr>
        <w:t xml:space="preserve"> </w:t>
      </w:r>
      <w:r w:rsidRPr="00C000A1">
        <w:rPr>
          <w:rFonts w:asciiTheme="majorHAnsi" w:hAnsiTheme="majorHAnsi" w:cstheme="majorHAnsi"/>
          <w:sz w:val="24"/>
          <w:szCs w:val="24"/>
        </w:rPr>
        <w:t xml:space="preserve">) </w:t>
      </w:r>
      <w:r w:rsidR="00D81886">
        <w:rPr>
          <w:rFonts w:asciiTheme="majorHAnsi" w:hAnsiTheme="majorHAnsi" w:cstheme="majorHAnsi"/>
          <w:sz w:val="24"/>
          <w:szCs w:val="24"/>
        </w:rPr>
        <w:t xml:space="preserve">quartil </w:t>
      </w:r>
      <w:r w:rsidRPr="00C000A1">
        <w:rPr>
          <w:rFonts w:asciiTheme="majorHAnsi" w:hAnsiTheme="majorHAnsi" w:cstheme="majorHAnsi"/>
          <w:sz w:val="24"/>
          <w:szCs w:val="24"/>
        </w:rPr>
        <w:t>médio ou (</w:t>
      </w:r>
      <w:r w:rsidR="007064AE">
        <w:rPr>
          <w:rFonts w:asciiTheme="majorHAnsi" w:hAnsiTheme="majorHAnsi" w:cstheme="majorHAnsi"/>
          <w:sz w:val="24"/>
          <w:szCs w:val="24"/>
        </w:rPr>
        <w:t xml:space="preserve"> </w:t>
      </w:r>
      <w:r w:rsidR="007064AE">
        <w:rPr>
          <w:rFonts w:asciiTheme="majorHAnsi" w:hAnsiTheme="majorHAnsi" w:cstheme="majorHAnsi"/>
          <w:b/>
          <w:bCs/>
          <w:sz w:val="24"/>
          <w:szCs w:val="24"/>
          <w:u w:val="single"/>
        </w:rPr>
        <w:t>X</w:t>
      </w:r>
      <w:r w:rsidR="007064AE">
        <w:rPr>
          <w:rFonts w:asciiTheme="majorHAnsi" w:hAnsiTheme="majorHAnsi" w:cstheme="majorHAnsi"/>
          <w:sz w:val="24"/>
          <w:szCs w:val="24"/>
        </w:rPr>
        <w:t xml:space="preserve"> </w:t>
      </w:r>
      <w:r w:rsidRPr="00C000A1">
        <w:rPr>
          <w:rFonts w:asciiTheme="majorHAnsi" w:hAnsiTheme="majorHAnsi" w:cstheme="majorHAnsi"/>
          <w:sz w:val="24"/>
          <w:szCs w:val="24"/>
        </w:rPr>
        <w:t>) 3º quartil:</w:t>
      </w:r>
    </w:p>
    <w:p w14:paraId="63F3317A" w14:textId="77777777" w:rsidR="00A60E5C" w:rsidRPr="007064AE" w:rsidRDefault="00A60E5C" w:rsidP="00A60E5C">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ENTRE MÉDIO E 3º QUARTIL. PRESERVADO O INTERVALO PERMITIDO PELO ACÓRDÃO N. 2.622/2013.</w:t>
      </w:r>
    </w:p>
    <w:p w14:paraId="3B570F0B" w14:textId="3E5BFB44" w:rsidR="0099200C" w:rsidRPr="00C000A1" w:rsidRDefault="0099200C" w:rsidP="00C000A1">
      <w:pPr>
        <w:pStyle w:val="Normal-TJTR"/>
        <w:spacing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Risco:</w:t>
      </w:r>
      <w:r w:rsidRPr="00C000A1">
        <w:rPr>
          <w:rFonts w:asciiTheme="majorHAnsi" w:hAnsiTheme="majorHAnsi" w:cstheme="majorHAnsi"/>
          <w:sz w:val="24"/>
          <w:szCs w:val="24"/>
        </w:rPr>
        <w:t xml:space="preserve"> </w:t>
      </w:r>
      <w:proofErr w:type="gramStart"/>
      <w:r w:rsidR="00A7641A">
        <w:rPr>
          <w:rFonts w:asciiTheme="majorHAnsi" w:hAnsiTheme="majorHAnsi" w:cstheme="majorHAnsi"/>
          <w:sz w:val="24"/>
          <w:szCs w:val="24"/>
        </w:rPr>
        <w:t xml:space="preserve">( </w:t>
      </w:r>
      <w:r w:rsidR="00A7641A">
        <w:rPr>
          <w:rFonts w:asciiTheme="majorHAnsi" w:hAnsiTheme="majorHAnsi" w:cstheme="majorHAnsi"/>
          <w:b/>
          <w:bCs/>
          <w:sz w:val="24"/>
          <w:szCs w:val="24"/>
          <w:u w:val="single"/>
        </w:rPr>
        <w:t>X</w:t>
      </w:r>
      <w:proofErr w:type="gramEnd"/>
      <w:r w:rsidR="00A7641A">
        <w:rPr>
          <w:rFonts w:asciiTheme="majorHAnsi" w:hAnsiTheme="majorHAnsi" w:cstheme="majorHAnsi"/>
          <w:sz w:val="24"/>
          <w:szCs w:val="24"/>
        </w:rPr>
        <w:t xml:space="preserve"> </w:t>
      </w:r>
      <w:r w:rsidRPr="00C000A1">
        <w:rPr>
          <w:rFonts w:asciiTheme="majorHAnsi" w:hAnsiTheme="majorHAnsi" w:cstheme="majorHAnsi"/>
          <w:sz w:val="24"/>
          <w:szCs w:val="24"/>
        </w:rPr>
        <w:t xml:space="preserve">) 1º quartil ou </w:t>
      </w:r>
      <w:r w:rsidR="00C803F2" w:rsidRPr="00C000A1">
        <w:rPr>
          <w:rFonts w:asciiTheme="majorHAnsi" w:hAnsiTheme="majorHAnsi" w:cstheme="majorHAnsi"/>
          <w:sz w:val="24"/>
          <w:szCs w:val="24"/>
        </w:rPr>
        <w:t>(</w:t>
      </w:r>
      <w:r w:rsidR="00A7641A">
        <w:rPr>
          <w:rFonts w:asciiTheme="majorHAnsi" w:hAnsiTheme="majorHAnsi" w:cstheme="majorHAnsi"/>
          <w:sz w:val="24"/>
          <w:szCs w:val="24"/>
        </w:rPr>
        <w:t xml:space="preserve"> </w:t>
      </w:r>
      <w:r w:rsidR="00A7641A">
        <w:rPr>
          <w:rFonts w:asciiTheme="majorHAnsi" w:hAnsiTheme="majorHAnsi" w:cstheme="majorHAnsi"/>
          <w:b/>
          <w:bCs/>
          <w:sz w:val="24"/>
          <w:szCs w:val="24"/>
          <w:u w:val="single"/>
        </w:rPr>
        <w:t>X</w:t>
      </w:r>
      <w:r w:rsidR="00A7641A">
        <w:rPr>
          <w:rFonts w:asciiTheme="majorHAnsi" w:hAnsiTheme="majorHAnsi" w:cstheme="majorHAnsi"/>
          <w:sz w:val="24"/>
          <w:szCs w:val="24"/>
        </w:rPr>
        <w:t xml:space="preserve"> </w:t>
      </w:r>
      <w:r w:rsidR="00C803F2" w:rsidRPr="00C000A1">
        <w:rPr>
          <w:rFonts w:asciiTheme="majorHAnsi" w:hAnsiTheme="majorHAnsi" w:cstheme="majorHAnsi"/>
          <w:sz w:val="24"/>
          <w:szCs w:val="24"/>
        </w:rPr>
        <w:t xml:space="preserve">) </w:t>
      </w:r>
      <w:r w:rsidR="00D81886">
        <w:rPr>
          <w:rFonts w:asciiTheme="majorHAnsi" w:hAnsiTheme="majorHAnsi" w:cstheme="majorHAnsi"/>
          <w:sz w:val="24"/>
          <w:szCs w:val="24"/>
        </w:rPr>
        <w:t xml:space="preserve">quartil </w:t>
      </w:r>
      <w:r w:rsidR="00C803F2" w:rsidRPr="00C000A1">
        <w:rPr>
          <w:rFonts w:asciiTheme="majorHAnsi" w:hAnsiTheme="majorHAnsi" w:cstheme="majorHAnsi"/>
          <w:sz w:val="24"/>
          <w:szCs w:val="24"/>
        </w:rPr>
        <w:t xml:space="preserve">médio </w:t>
      </w:r>
      <w:r w:rsidRPr="00C000A1">
        <w:rPr>
          <w:rFonts w:asciiTheme="majorHAnsi" w:hAnsiTheme="majorHAnsi" w:cstheme="majorHAnsi"/>
          <w:sz w:val="24"/>
          <w:szCs w:val="24"/>
        </w:rPr>
        <w:t>ou (</w:t>
      </w:r>
      <w:r w:rsidR="001A798E">
        <w:rPr>
          <w:rFonts w:asciiTheme="majorHAnsi" w:hAnsiTheme="majorHAnsi" w:cstheme="majorHAnsi"/>
          <w:sz w:val="24"/>
          <w:szCs w:val="24"/>
        </w:rPr>
        <w:t xml:space="preserve"> </w:t>
      </w:r>
      <w:r w:rsidR="00C71FE1">
        <w:rPr>
          <w:rFonts w:asciiTheme="majorHAnsi" w:hAnsiTheme="majorHAnsi" w:cstheme="majorHAnsi"/>
          <w:b/>
          <w:bCs/>
          <w:sz w:val="24"/>
          <w:szCs w:val="24"/>
        </w:rPr>
        <w:t xml:space="preserve"> </w:t>
      </w:r>
      <w:r w:rsidRPr="00C000A1">
        <w:rPr>
          <w:rFonts w:asciiTheme="majorHAnsi" w:hAnsiTheme="majorHAnsi" w:cstheme="majorHAnsi"/>
          <w:sz w:val="24"/>
          <w:szCs w:val="24"/>
        </w:rPr>
        <w:t>) 3º quartil:</w:t>
      </w:r>
    </w:p>
    <w:p w14:paraId="7E671EFD" w14:textId="13262393" w:rsidR="00A7641A" w:rsidRPr="007064AE" w:rsidRDefault="00A7641A" w:rsidP="00A7641A">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ENTRE 1º E MÉDIO QUARTIL. PRESERVADO O INTERVALO PERMITIDO PELO ACÓRDÃO N. 2.622/2013.</w:t>
      </w:r>
    </w:p>
    <w:p w14:paraId="3513148A" w14:textId="2D561B27" w:rsidR="001A798E" w:rsidRPr="00C000A1" w:rsidRDefault="0099200C" w:rsidP="001A798E">
      <w:pPr>
        <w:pStyle w:val="Normal-TJTR"/>
        <w:spacing w:after="360"/>
        <w:rPr>
          <w:rFonts w:asciiTheme="majorHAnsi" w:hAnsiTheme="majorHAnsi" w:cstheme="majorHAnsi"/>
          <w:sz w:val="24"/>
          <w:szCs w:val="24"/>
        </w:rPr>
      </w:pPr>
      <w:r w:rsidRPr="00C000A1">
        <w:rPr>
          <w:rFonts w:asciiTheme="majorHAnsi" w:hAnsiTheme="majorHAnsi" w:cstheme="majorHAnsi"/>
          <w:sz w:val="24"/>
          <w:szCs w:val="24"/>
          <w:lang w:eastAsia="pt-BR"/>
        </w:rPr>
        <w:t>Despesa financeira:</w:t>
      </w:r>
      <w:r w:rsidRPr="00C000A1">
        <w:rPr>
          <w:rFonts w:asciiTheme="majorHAnsi" w:hAnsiTheme="majorHAnsi" w:cstheme="majorHAnsi"/>
          <w:sz w:val="24"/>
          <w:szCs w:val="24"/>
        </w:rPr>
        <w:t xml:space="preserve"> </w:t>
      </w:r>
      <w:proofErr w:type="gramStart"/>
      <w:r w:rsidR="001A798E" w:rsidRPr="00C000A1">
        <w:rPr>
          <w:rFonts w:asciiTheme="majorHAnsi" w:hAnsiTheme="majorHAnsi" w:cstheme="majorHAnsi"/>
          <w:sz w:val="24"/>
          <w:szCs w:val="24"/>
        </w:rPr>
        <w:t>(</w:t>
      </w:r>
      <w:r w:rsidR="001A798E">
        <w:rPr>
          <w:rFonts w:asciiTheme="majorHAnsi" w:hAnsiTheme="majorHAnsi" w:cstheme="majorHAnsi"/>
          <w:sz w:val="24"/>
          <w:szCs w:val="24"/>
        </w:rPr>
        <w:t xml:space="preserve"> </w:t>
      </w:r>
      <w:r w:rsidR="00C71FE1">
        <w:rPr>
          <w:rFonts w:asciiTheme="majorHAnsi" w:hAnsiTheme="majorHAnsi" w:cstheme="majorHAnsi"/>
          <w:b/>
          <w:bCs/>
          <w:sz w:val="24"/>
          <w:szCs w:val="24"/>
        </w:rPr>
        <w:t xml:space="preserve"> </w:t>
      </w:r>
      <w:proofErr w:type="gramEnd"/>
      <w:r w:rsidR="001A798E">
        <w:rPr>
          <w:rFonts w:asciiTheme="majorHAnsi" w:hAnsiTheme="majorHAnsi" w:cstheme="majorHAnsi"/>
          <w:sz w:val="24"/>
          <w:szCs w:val="24"/>
        </w:rPr>
        <w:t xml:space="preserve"> </w:t>
      </w:r>
      <w:r w:rsidR="001A798E" w:rsidRPr="00C000A1">
        <w:rPr>
          <w:rFonts w:asciiTheme="majorHAnsi" w:hAnsiTheme="majorHAnsi" w:cstheme="majorHAnsi"/>
          <w:sz w:val="24"/>
          <w:szCs w:val="24"/>
        </w:rPr>
        <w:t xml:space="preserve">) 1º quartil </w:t>
      </w:r>
      <w:r w:rsidR="001A798E">
        <w:rPr>
          <w:rFonts w:asciiTheme="majorHAnsi" w:hAnsiTheme="majorHAnsi" w:cstheme="majorHAnsi"/>
          <w:sz w:val="24"/>
          <w:szCs w:val="24"/>
        </w:rPr>
        <w:t xml:space="preserve">ou </w:t>
      </w:r>
      <w:r w:rsidR="001A798E" w:rsidRPr="00C000A1">
        <w:rPr>
          <w:rFonts w:asciiTheme="majorHAnsi" w:hAnsiTheme="majorHAnsi" w:cstheme="majorHAnsi"/>
          <w:sz w:val="24"/>
          <w:szCs w:val="24"/>
        </w:rPr>
        <w:t>(</w:t>
      </w:r>
      <w:r w:rsidR="001A798E">
        <w:rPr>
          <w:rFonts w:asciiTheme="majorHAnsi" w:hAnsiTheme="majorHAnsi" w:cstheme="majorHAnsi"/>
          <w:sz w:val="24"/>
          <w:szCs w:val="24"/>
        </w:rPr>
        <w:t xml:space="preserve"> </w:t>
      </w:r>
      <w:r w:rsidR="001A798E">
        <w:rPr>
          <w:rFonts w:asciiTheme="majorHAnsi" w:hAnsiTheme="majorHAnsi" w:cstheme="majorHAnsi"/>
          <w:b/>
          <w:bCs/>
          <w:sz w:val="24"/>
          <w:szCs w:val="24"/>
          <w:u w:val="single"/>
        </w:rPr>
        <w:t>X</w:t>
      </w:r>
      <w:r w:rsidR="001A798E">
        <w:rPr>
          <w:rFonts w:asciiTheme="majorHAnsi" w:hAnsiTheme="majorHAnsi" w:cstheme="majorHAnsi"/>
          <w:sz w:val="24"/>
          <w:szCs w:val="24"/>
        </w:rPr>
        <w:t xml:space="preserve"> </w:t>
      </w:r>
      <w:r w:rsidR="001A798E" w:rsidRPr="00C000A1">
        <w:rPr>
          <w:rFonts w:asciiTheme="majorHAnsi" w:hAnsiTheme="majorHAnsi" w:cstheme="majorHAnsi"/>
          <w:sz w:val="24"/>
          <w:szCs w:val="24"/>
        </w:rPr>
        <w:t xml:space="preserve">) </w:t>
      </w:r>
      <w:r w:rsidR="001A798E">
        <w:rPr>
          <w:rFonts w:asciiTheme="majorHAnsi" w:hAnsiTheme="majorHAnsi" w:cstheme="majorHAnsi"/>
          <w:sz w:val="24"/>
          <w:szCs w:val="24"/>
        </w:rPr>
        <w:t xml:space="preserve">quartil </w:t>
      </w:r>
      <w:r w:rsidR="001A798E" w:rsidRPr="00C000A1">
        <w:rPr>
          <w:rFonts w:asciiTheme="majorHAnsi" w:hAnsiTheme="majorHAnsi" w:cstheme="majorHAnsi"/>
          <w:sz w:val="24"/>
          <w:szCs w:val="24"/>
        </w:rPr>
        <w:t>médio</w:t>
      </w:r>
      <w:r w:rsidR="001A798E">
        <w:rPr>
          <w:rFonts w:asciiTheme="majorHAnsi" w:hAnsiTheme="majorHAnsi" w:cstheme="majorHAnsi"/>
          <w:sz w:val="24"/>
          <w:szCs w:val="24"/>
        </w:rPr>
        <w:t xml:space="preserve"> ou</w:t>
      </w:r>
      <w:r w:rsidR="001A798E" w:rsidRPr="00C000A1">
        <w:rPr>
          <w:rFonts w:asciiTheme="majorHAnsi" w:hAnsiTheme="majorHAnsi" w:cstheme="majorHAnsi"/>
          <w:sz w:val="24"/>
          <w:szCs w:val="24"/>
        </w:rPr>
        <w:t xml:space="preserve"> </w:t>
      </w:r>
      <w:r w:rsidR="00C71FE1" w:rsidRPr="00C000A1">
        <w:rPr>
          <w:rFonts w:asciiTheme="majorHAnsi" w:hAnsiTheme="majorHAnsi" w:cstheme="majorHAnsi"/>
          <w:sz w:val="24"/>
          <w:szCs w:val="24"/>
        </w:rPr>
        <w:t>(</w:t>
      </w:r>
      <w:r w:rsidR="00C71FE1">
        <w:rPr>
          <w:rFonts w:asciiTheme="majorHAnsi" w:hAnsiTheme="majorHAnsi" w:cstheme="majorHAnsi"/>
          <w:sz w:val="24"/>
          <w:szCs w:val="24"/>
        </w:rPr>
        <w:t xml:space="preserve"> </w:t>
      </w:r>
      <w:r w:rsidR="00C71FE1">
        <w:rPr>
          <w:rFonts w:asciiTheme="majorHAnsi" w:hAnsiTheme="majorHAnsi" w:cstheme="majorHAnsi"/>
          <w:b/>
          <w:bCs/>
          <w:sz w:val="24"/>
          <w:szCs w:val="24"/>
          <w:u w:val="single"/>
        </w:rPr>
        <w:t>X</w:t>
      </w:r>
      <w:r w:rsidR="00C71FE1">
        <w:rPr>
          <w:rFonts w:asciiTheme="majorHAnsi" w:hAnsiTheme="majorHAnsi" w:cstheme="majorHAnsi"/>
          <w:b/>
          <w:bCs/>
          <w:sz w:val="24"/>
          <w:szCs w:val="24"/>
        </w:rPr>
        <w:t xml:space="preserve"> </w:t>
      </w:r>
      <w:r w:rsidR="00C71FE1" w:rsidRPr="00C000A1">
        <w:rPr>
          <w:rFonts w:asciiTheme="majorHAnsi" w:hAnsiTheme="majorHAnsi" w:cstheme="majorHAnsi"/>
          <w:sz w:val="24"/>
          <w:szCs w:val="24"/>
        </w:rPr>
        <w:t xml:space="preserve">) </w:t>
      </w:r>
      <w:r w:rsidR="001A798E" w:rsidRPr="00C000A1">
        <w:rPr>
          <w:rFonts w:asciiTheme="majorHAnsi" w:hAnsiTheme="majorHAnsi" w:cstheme="majorHAnsi"/>
          <w:sz w:val="24"/>
          <w:szCs w:val="24"/>
        </w:rPr>
        <w:t>3º quartil:</w:t>
      </w:r>
    </w:p>
    <w:p w14:paraId="6D55C937" w14:textId="77777777" w:rsidR="00A7641A" w:rsidRPr="007064AE" w:rsidRDefault="00A7641A" w:rsidP="00A7641A">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ENTRE MÉDIO E 3º QUARTIL. PRESERVADO O INTERVALO PERMITIDO PELO ACÓRDÃO N. 2.622/2013.</w:t>
      </w:r>
    </w:p>
    <w:p w14:paraId="3C2E595C" w14:textId="46FE6A77" w:rsidR="00C71FE1" w:rsidRPr="00C000A1" w:rsidRDefault="0099200C" w:rsidP="00C71FE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 xml:space="preserve">Lucro: </w:t>
      </w:r>
      <w:proofErr w:type="gramStart"/>
      <w:r w:rsidR="00C71FE1" w:rsidRPr="00C000A1">
        <w:rPr>
          <w:rFonts w:asciiTheme="majorHAnsi" w:hAnsiTheme="majorHAnsi" w:cstheme="majorHAnsi"/>
          <w:sz w:val="24"/>
          <w:szCs w:val="24"/>
        </w:rPr>
        <w:t>(</w:t>
      </w:r>
      <w:r w:rsidR="00854B86">
        <w:rPr>
          <w:rFonts w:asciiTheme="majorHAnsi" w:hAnsiTheme="majorHAnsi" w:cstheme="majorHAnsi"/>
          <w:sz w:val="24"/>
          <w:szCs w:val="24"/>
        </w:rPr>
        <w:t xml:space="preserve">  </w:t>
      </w:r>
      <w:r w:rsidR="00C71FE1" w:rsidRPr="00C000A1">
        <w:rPr>
          <w:rFonts w:asciiTheme="majorHAnsi" w:hAnsiTheme="majorHAnsi" w:cstheme="majorHAnsi"/>
          <w:sz w:val="24"/>
          <w:szCs w:val="24"/>
        </w:rPr>
        <w:t>)</w:t>
      </w:r>
      <w:proofErr w:type="gramEnd"/>
      <w:r w:rsidR="00C71FE1" w:rsidRPr="00C000A1">
        <w:rPr>
          <w:rFonts w:asciiTheme="majorHAnsi" w:hAnsiTheme="majorHAnsi" w:cstheme="majorHAnsi"/>
          <w:sz w:val="24"/>
          <w:szCs w:val="24"/>
        </w:rPr>
        <w:t xml:space="preserve"> 1º quartil </w:t>
      </w:r>
      <w:r w:rsidR="00C71FE1">
        <w:rPr>
          <w:rFonts w:asciiTheme="majorHAnsi" w:hAnsiTheme="majorHAnsi" w:cstheme="majorHAnsi"/>
          <w:sz w:val="24"/>
          <w:szCs w:val="24"/>
        </w:rPr>
        <w:t xml:space="preserve">ou </w:t>
      </w:r>
      <w:r w:rsidR="00C71FE1" w:rsidRPr="00C000A1">
        <w:rPr>
          <w:rFonts w:asciiTheme="majorHAnsi" w:hAnsiTheme="majorHAnsi" w:cstheme="majorHAnsi"/>
          <w:sz w:val="24"/>
          <w:szCs w:val="24"/>
        </w:rPr>
        <w:t>(</w:t>
      </w:r>
      <w:r w:rsidR="00C71FE1">
        <w:rPr>
          <w:rFonts w:asciiTheme="majorHAnsi" w:hAnsiTheme="majorHAnsi" w:cstheme="majorHAnsi"/>
          <w:sz w:val="24"/>
          <w:szCs w:val="24"/>
        </w:rPr>
        <w:t xml:space="preserve"> </w:t>
      </w:r>
      <w:r w:rsidR="00C71FE1">
        <w:rPr>
          <w:rFonts w:asciiTheme="majorHAnsi" w:hAnsiTheme="majorHAnsi" w:cstheme="majorHAnsi"/>
          <w:b/>
          <w:bCs/>
          <w:sz w:val="24"/>
          <w:szCs w:val="24"/>
          <w:u w:val="single"/>
        </w:rPr>
        <w:t>X</w:t>
      </w:r>
      <w:r w:rsidR="00C71FE1">
        <w:rPr>
          <w:rFonts w:asciiTheme="majorHAnsi" w:hAnsiTheme="majorHAnsi" w:cstheme="majorHAnsi"/>
          <w:sz w:val="24"/>
          <w:szCs w:val="24"/>
        </w:rPr>
        <w:t xml:space="preserve"> </w:t>
      </w:r>
      <w:r w:rsidR="00C71FE1" w:rsidRPr="00C000A1">
        <w:rPr>
          <w:rFonts w:asciiTheme="majorHAnsi" w:hAnsiTheme="majorHAnsi" w:cstheme="majorHAnsi"/>
          <w:sz w:val="24"/>
          <w:szCs w:val="24"/>
        </w:rPr>
        <w:t xml:space="preserve">) </w:t>
      </w:r>
      <w:r w:rsidR="00C71FE1">
        <w:rPr>
          <w:rFonts w:asciiTheme="majorHAnsi" w:hAnsiTheme="majorHAnsi" w:cstheme="majorHAnsi"/>
          <w:sz w:val="24"/>
          <w:szCs w:val="24"/>
        </w:rPr>
        <w:t xml:space="preserve">quartil </w:t>
      </w:r>
      <w:r w:rsidR="00C71FE1" w:rsidRPr="00C000A1">
        <w:rPr>
          <w:rFonts w:asciiTheme="majorHAnsi" w:hAnsiTheme="majorHAnsi" w:cstheme="majorHAnsi"/>
          <w:sz w:val="24"/>
          <w:szCs w:val="24"/>
        </w:rPr>
        <w:t>médio</w:t>
      </w:r>
      <w:r w:rsidR="00C71FE1">
        <w:rPr>
          <w:rFonts w:asciiTheme="majorHAnsi" w:hAnsiTheme="majorHAnsi" w:cstheme="majorHAnsi"/>
          <w:sz w:val="24"/>
          <w:szCs w:val="24"/>
        </w:rPr>
        <w:t xml:space="preserve"> ou</w:t>
      </w:r>
      <w:r w:rsidR="00C71FE1" w:rsidRPr="00C000A1">
        <w:rPr>
          <w:rFonts w:asciiTheme="majorHAnsi" w:hAnsiTheme="majorHAnsi" w:cstheme="majorHAnsi"/>
          <w:sz w:val="24"/>
          <w:szCs w:val="24"/>
        </w:rPr>
        <w:t xml:space="preserve"> (</w:t>
      </w:r>
      <w:r w:rsidR="00A7641A">
        <w:rPr>
          <w:rFonts w:asciiTheme="majorHAnsi" w:hAnsiTheme="majorHAnsi" w:cstheme="majorHAnsi"/>
          <w:sz w:val="24"/>
          <w:szCs w:val="24"/>
        </w:rPr>
        <w:t xml:space="preserve"> </w:t>
      </w:r>
      <w:r w:rsidR="00A7641A">
        <w:rPr>
          <w:rFonts w:asciiTheme="majorHAnsi" w:hAnsiTheme="majorHAnsi" w:cstheme="majorHAnsi"/>
          <w:b/>
          <w:bCs/>
          <w:sz w:val="24"/>
          <w:szCs w:val="24"/>
          <w:u w:val="single"/>
        </w:rPr>
        <w:t>X</w:t>
      </w:r>
      <w:r w:rsidR="00A7641A">
        <w:rPr>
          <w:rFonts w:asciiTheme="majorHAnsi" w:hAnsiTheme="majorHAnsi" w:cstheme="majorHAnsi"/>
          <w:sz w:val="24"/>
          <w:szCs w:val="24"/>
        </w:rPr>
        <w:t xml:space="preserve"> </w:t>
      </w:r>
      <w:r w:rsidR="00C71FE1" w:rsidRPr="00C000A1">
        <w:rPr>
          <w:rFonts w:asciiTheme="majorHAnsi" w:hAnsiTheme="majorHAnsi" w:cstheme="majorHAnsi"/>
          <w:sz w:val="24"/>
          <w:szCs w:val="24"/>
        </w:rPr>
        <w:t>) 3º quartil:</w:t>
      </w:r>
    </w:p>
    <w:p w14:paraId="6C00A9AC" w14:textId="77777777" w:rsidR="00A7641A" w:rsidRPr="007064AE" w:rsidRDefault="00A7641A" w:rsidP="00A7641A">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ENTRE MÉDIO E 3º QUARTIL. PRESERVADO O INTERVALO PERMITIDO PELO ACÓRDÃO N. 2.622/2013.</w:t>
      </w:r>
    </w:p>
    <w:p w14:paraId="7C0CF0E8" w14:textId="7D6E069C" w:rsidR="0099200C" w:rsidRPr="00C000A1" w:rsidRDefault="0099200C" w:rsidP="001A798E">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Para determinado(s) item(</w:t>
      </w:r>
      <w:proofErr w:type="spellStart"/>
      <w:r w:rsidRPr="00C000A1">
        <w:rPr>
          <w:rFonts w:asciiTheme="majorHAnsi" w:hAnsiTheme="majorHAnsi" w:cstheme="majorHAnsi"/>
          <w:sz w:val="24"/>
          <w:szCs w:val="24"/>
        </w:rPr>
        <w:t>ns</w:t>
      </w:r>
      <w:proofErr w:type="spellEnd"/>
      <w:r w:rsidRPr="00C000A1">
        <w:rPr>
          <w:rFonts w:asciiTheme="majorHAnsi" w:hAnsiTheme="majorHAnsi" w:cstheme="majorHAnsi"/>
          <w:sz w:val="24"/>
          <w:szCs w:val="24"/>
        </w:rPr>
        <w:t xml:space="preserve">) do BDI, em razão das peculiaridades do objeto licitado, foram adotados percentuais superiores ao 3º quartil, de acordo com as </w:t>
      </w:r>
      <w:r w:rsidRPr="002769F9">
        <w:rPr>
          <w:rFonts w:asciiTheme="majorHAnsi" w:hAnsiTheme="majorHAnsi" w:cstheme="majorHAnsi"/>
          <w:b/>
          <w:bCs/>
          <w:sz w:val="24"/>
          <w:szCs w:val="24"/>
        </w:rPr>
        <w:t>justificativas</w:t>
      </w:r>
      <w:r w:rsidRPr="002769F9">
        <w:rPr>
          <w:rFonts w:asciiTheme="majorHAnsi" w:hAnsiTheme="majorHAnsi" w:cstheme="majorHAnsi"/>
          <w:sz w:val="24"/>
          <w:szCs w:val="24"/>
        </w:rPr>
        <w:t xml:space="preserve"> </w:t>
      </w:r>
      <w:r w:rsidRPr="00C000A1">
        <w:rPr>
          <w:rFonts w:asciiTheme="majorHAnsi" w:hAnsiTheme="majorHAnsi" w:cstheme="majorHAnsi"/>
          <w:sz w:val="24"/>
          <w:szCs w:val="24"/>
        </w:rPr>
        <w:t>técnicas abaixo apresentadas:</w:t>
      </w:r>
      <w:r w:rsidRPr="00C000A1">
        <w:rPr>
          <w:rFonts w:asciiTheme="majorHAnsi" w:hAnsiTheme="majorHAnsi" w:cstheme="majorHAnsi"/>
          <w:sz w:val="24"/>
          <w:szCs w:val="24"/>
          <w:highlight w:val="cyan"/>
        </w:rPr>
        <w:t xml:space="preserve"> </w:t>
      </w:r>
    </w:p>
    <w:p w14:paraId="228958FC" w14:textId="45556418" w:rsidR="00A15C6E" w:rsidRPr="001A798E" w:rsidRDefault="001A798E" w:rsidP="00C000A1">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NÃO FORAM ADOTADOS PERCENTUAIS SUPERIORES AO 3º QUARTIL.</w:t>
      </w:r>
    </w:p>
    <w:p w14:paraId="613FC319" w14:textId="708A452D" w:rsidR="00DC7BBD" w:rsidRDefault="001E704A"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10" w:history="1">
        <w:r w:rsidR="00DC7BBD" w:rsidRPr="00E04D41">
          <w:rPr>
            <w:rStyle w:val="Hyperlink"/>
            <w:rFonts w:asciiTheme="majorHAnsi" w:hAnsiTheme="majorHAnsi" w:cstheme="majorHAnsi"/>
            <w:sz w:val="24"/>
            <w:szCs w:val="24"/>
          </w:rPr>
          <w:t xml:space="preserve">Vide </w:t>
        </w:r>
        <w:r w:rsidR="00D053FD" w:rsidRPr="00E04D41">
          <w:rPr>
            <w:rStyle w:val="Hyperlink"/>
            <w:rFonts w:asciiTheme="majorHAnsi" w:hAnsiTheme="majorHAnsi" w:cstheme="majorHAnsi"/>
            <w:sz w:val="24"/>
            <w:szCs w:val="24"/>
          </w:rPr>
          <w:t>Nota Explicativa n. 1</w:t>
        </w:r>
        <w:r w:rsidR="00E04D41" w:rsidRPr="00E04D41">
          <w:rPr>
            <w:rStyle w:val="Hyperlink"/>
            <w:rFonts w:asciiTheme="majorHAnsi" w:hAnsiTheme="majorHAnsi" w:cstheme="majorHAnsi"/>
            <w:sz w:val="24"/>
            <w:szCs w:val="24"/>
          </w:rPr>
          <w:t>0</w:t>
        </w:r>
        <w:r w:rsidR="00D053FD" w:rsidRPr="00E04D41">
          <w:rPr>
            <w:rStyle w:val="Hyperlink"/>
            <w:rFonts w:asciiTheme="majorHAnsi" w:hAnsiTheme="majorHAnsi" w:cstheme="majorHAnsi"/>
            <w:sz w:val="24"/>
            <w:szCs w:val="24"/>
          </w:rPr>
          <w:t>.</w:t>
        </w:r>
      </w:hyperlink>
    </w:p>
    <w:p w14:paraId="5961D6E8" w14:textId="77777777" w:rsidR="00D81886" w:rsidRPr="00C000A1" w:rsidRDefault="00D81886"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7BEB9862" w14:textId="5F8EB511" w:rsidR="00155592"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28" w:name="_Toc142556194"/>
      <w:bookmarkStart w:id="29" w:name="nt_11_retorno"/>
      <w:r w:rsidRPr="00C000A1">
        <w:rPr>
          <w:rFonts w:cstheme="majorHAnsi"/>
          <w:caps w:val="0"/>
          <w:szCs w:val="24"/>
        </w:rPr>
        <w:t>BDI REDUZIDO SOBRE OS CUSTOS DOS MATERIAIS E EQUIPAMENTOS</w:t>
      </w:r>
      <w:bookmarkEnd w:id="28"/>
    </w:p>
    <w:bookmarkEnd w:id="29"/>
    <w:p w14:paraId="40E46C0B" w14:textId="6588834F" w:rsidR="00155592" w:rsidRPr="00C000A1" w:rsidRDefault="00155592"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 xml:space="preserve">Na presente licitação, </w:t>
      </w:r>
      <w:proofErr w:type="gramStart"/>
      <w:r w:rsidRPr="00C000A1">
        <w:rPr>
          <w:rFonts w:asciiTheme="majorHAnsi" w:hAnsiTheme="majorHAnsi" w:cstheme="majorHAnsi"/>
          <w:sz w:val="24"/>
          <w:szCs w:val="24"/>
        </w:rPr>
        <w:t>(  )</w:t>
      </w:r>
      <w:proofErr w:type="gramEnd"/>
      <w:r w:rsidRPr="00C000A1">
        <w:rPr>
          <w:rFonts w:asciiTheme="majorHAnsi" w:hAnsiTheme="majorHAnsi" w:cstheme="majorHAnsi"/>
          <w:sz w:val="24"/>
          <w:szCs w:val="24"/>
        </w:rPr>
        <w:t xml:space="preserve"> SERÁ ou (</w:t>
      </w:r>
      <w:r w:rsidR="00D2693F">
        <w:rPr>
          <w:rFonts w:asciiTheme="majorHAnsi" w:hAnsiTheme="majorHAnsi" w:cstheme="majorHAnsi"/>
          <w:sz w:val="24"/>
          <w:szCs w:val="24"/>
        </w:rPr>
        <w:t xml:space="preserve"> </w:t>
      </w:r>
      <w:r w:rsidR="00D2693F">
        <w:rPr>
          <w:rFonts w:asciiTheme="majorHAnsi" w:hAnsiTheme="majorHAnsi" w:cstheme="majorHAnsi"/>
          <w:b/>
          <w:bCs/>
          <w:sz w:val="24"/>
          <w:szCs w:val="24"/>
          <w:u w:val="single"/>
        </w:rPr>
        <w:t>X</w:t>
      </w:r>
      <w:r w:rsidR="00D2693F">
        <w:rPr>
          <w:rFonts w:asciiTheme="majorHAnsi" w:hAnsiTheme="majorHAnsi" w:cstheme="majorHAnsi"/>
          <w:sz w:val="24"/>
          <w:szCs w:val="24"/>
        </w:rPr>
        <w:t xml:space="preserve"> </w:t>
      </w:r>
      <w:r w:rsidRPr="00C000A1">
        <w:rPr>
          <w:rFonts w:asciiTheme="majorHAnsi" w:hAnsiTheme="majorHAnsi" w:cstheme="majorHAnsi"/>
          <w:sz w:val="24"/>
          <w:szCs w:val="24"/>
        </w:rPr>
        <w:t xml:space="preserve">) NÃO SERÁ adotado o BDI reduzido sobre os custos dos materiais e equipamentos, de acordo com a seguinte </w:t>
      </w:r>
      <w:r w:rsidRPr="00C000A1">
        <w:rPr>
          <w:rFonts w:asciiTheme="majorHAnsi" w:hAnsiTheme="majorHAnsi" w:cstheme="majorHAnsi"/>
          <w:b/>
          <w:sz w:val="24"/>
          <w:szCs w:val="24"/>
        </w:rPr>
        <w:t>justificativa</w:t>
      </w:r>
      <w:r w:rsidRPr="00C000A1">
        <w:rPr>
          <w:rFonts w:asciiTheme="majorHAnsi" w:hAnsiTheme="majorHAnsi" w:cstheme="majorHAnsi"/>
          <w:sz w:val="24"/>
          <w:szCs w:val="24"/>
        </w:rPr>
        <w:t>:</w:t>
      </w:r>
    </w:p>
    <w:p w14:paraId="565F2459" w14:textId="0090E0EF" w:rsidR="00A15C6E" w:rsidRPr="00D2693F" w:rsidRDefault="00D2693F" w:rsidP="00C000A1">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NÃO HAVERÁ FORNECIMENTO DE MATERIAIS E EQUIPAMENTOS ESPECÍFICOS PARA A EXECUÇÃO DO OBJETO.</w:t>
      </w:r>
    </w:p>
    <w:p w14:paraId="4B89039C" w14:textId="39BFD234" w:rsidR="00155592" w:rsidRPr="00C000A1" w:rsidRDefault="00155592" w:rsidP="00C000A1">
      <w:pPr>
        <w:pStyle w:val="Normal-TJTR"/>
        <w:spacing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lastRenderedPageBreak/>
        <w:t>Caso</w:t>
      </w:r>
      <w:r w:rsidR="005325EB">
        <w:rPr>
          <w:rFonts w:asciiTheme="majorHAnsi" w:hAnsiTheme="majorHAnsi" w:cstheme="majorHAnsi"/>
          <w:sz w:val="24"/>
          <w:szCs w:val="24"/>
          <w:lang w:eastAsia="pt-BR"/>
        </w:rPr>
        <w:t xml:space="preserve"> seja</w:t>
      </w:r>
      <w:r w:rsidRPr="00C000A1">
        <w:rPr>
          <w:rFonts w:asciiTheme="majorHAnsi" w:hAnsiTheme="majorHAnsi" w:cstheme="majorHAnsi"/>
          <w:sz w:val="24"/>
          <w:szCs w:val="24"/>
          <w:lang w:eastAsia="pt-BR"/>
        </w:rPr>
        <w:t xml:space="preserve"> adotado o BDI reduzido</w:t>
      </w:r>
      <w:r w:rsidRPr="00C000A1">
        <w:rPr>
          <w:rFonts w:asciiTheme="majorHAnsi" w:hAnsiTheme="majorHAnsi" w:cstheme="majorHAnsi"/>
          <w:sz w:val="24"/>
          <w:szCs w:val="24"/>
        </w:rPr>
        <w:t xml:space="preserve"> sobre os custos dos materiais e equipamentos</w:t>
      </w:r>
      <w:r w:rsidRPr="00C000A1">
        <w:rPr>
          <w:rFonts w:asciiTheme="majorHAnsi" w:hAnsiTheme="majorHAnsi" w:cstheme="majorHAnsi"/>
          <w:sz w:val="24"/>
          <w:szCs w:val="24"/>
          <w:lang w:eastAsia="pt-BR"/>
        </w:rPr>
        <w:t>:</w:t>
      </w:r>
    </w:p>
    <w:p w14:paraId="625C55EE" w14:textId="2FB40E56" w:rsidR="00155592" w:rsidRPr="00C000A1" w:rsidRDefault="00155592" w:rsidP="00C000A1">
      <w:pPr>
        <w:spacing w:after="360" w:line="240" w:lineRule="auto"/>
        <w:jc w:val="both"/>
        <w:rPr>
          <w:rFonts w:asciiTheme="majorHAnsi" w:hAnsiTheme="majorHAnsi" w:cstheme="majorHAnsi"/>
          <w:sz w:val="24"/>
          <w:szCs w:val="24"/>
        </w:rPr>
      </w:pPr>
      <w:proofErr w:type="gramStart"/>
      <w:r w:rsidRPr="00C000A1">
        <w:rPr>
          <w:rFonts w:asciiTheme="majorHAnsi" w:hAnsiTheme="majorHAnsi" w:cstheme="majorHAnsi"/>
          <w:sz w:val="24"/>
          <w:szCs w:val="24"/>
        </w:rPr>
        <w:t>(</w:t>
      </w:r>
      <w:r w:rsidR="00D2693F">
        <w:rPr>
          <w:rFonts w:asciiTheme="majorHAnsi" w:hAnsiTheme="majorHAnsi" w:cstheme="majorHAnsi"/>
          <w:sz w:val="24"/>
          <w:szCs w:val="24"/>
        </w:rPr>
        <w:t xml:space="preserve">  </w:t>
      </w:r>
      <w:proofErr w:type="gramEnd"/>
      <w:r w:rsidR="00D2693F">
        <w:rPr>
          <w:rFonts w:asciiTheme="majorHAnsi" w:hAnsiTheme="majorHAnsi" w:cstheme="majorHAnsi"/>
          <w:sz w:val="24"/>
          <w:szCs w:val="24"/>
        </w:rPr>
        <w:t xml:space="preserve"> </w:t>
      </w:r>
      <w:r w:rsidRPr="00C000A1">
        <w:rPr>
          <w:rFonts w:asciiTheme="majorHAnsi" w:hAnsiTheme="majorHAnsi" w:cstheme="majorHAnsi"/>
          <w:sz w:val="24"/>
          <w:szCs w:val="24"/>
        </w:rPr>
        <w:t>) foram observados os parâmetros do Acórdão n. 2.622/2013 - Plenário do TCU;</w:t>
      </w:r>
    </w:p>
    <w:p w14:paraId="6C79DCA6" w14:textId="4DC7F9CB" w:rsidR="000969B8" w:rsidRPr="00C000A1" w:rsidRDefault="00155592"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w:t>
      </w:r>
      <w:r w:rsidR="00D2693F">
        <w:rPr>
          <w:rFonts w:asciiTheme="majorHAnsi" w:hAnsiTheme="majorHAnsi" w:cstheme="majorHAnsi"/>
          <w:sz w:val="24"/>
          <w:szCs w:val="24"/>
        </w:rPr>
        <w:t xml:space="preserve">   </w:t>
      </w:r>
      <w:r w:rsidRPr="00C000A1">
        <w:rPr>
          <w:rFonts w:asciiTheme="majorHAnsi" w:hAnsiTheme="majorHAnsi" w:cstheme="majorHAnsi"/>
          <w:sz w:val="24"/>
          <w:szCs w:val="24"/>
        </w:rPr>
        <w:t>) foi adotado o parâmetro do (</w:t>
      </w:r>
      <w:r w:rsidR="00D2693F">
        <w:rPr>
          <w:rFonts w:asciiTheme="majorHAnsi" w:hAnsiTheme="majorHAnsi" w:cstheme="majorHAnsi"/>
          <w:sz w:val="24"/>
          <w:szCs w:val="24"/>
        </w:rPr>
        <w:t xml:space="preserve">   </w:t>
      </w:r>
      <w:r w:rsidRPr="00C000A1">
        <w:rPr>
          <w:rFonts w:asciiTheme="majorHAnsi" w:hAnsiTheme="majorHAnsi" w:cstheme="majorHAnsi"/>
          <w:sz w:val="24"/>
          <w:szCs w:val="24"/>
        </w:rPr>
        <w:t>) 1º quartil ou (</w:t>
      </w:r>
      <w:r w:rsidR="00D2693F">
        <w:rPr>
          <w:rFonts w:asciiTheme="majorHAnsi" w:hAnsiTheme="majorHAnsi" w:cstheme="majorHAnsi"/>
          <w:sz w:val="24"/>
          <w:szCs w:val="24"/>
        </w:rPr>
        <w:t xml:space="preserve">   </w:t>
      </w:r>
      <w:r w:rsidRPr="00C000A1">
        <w:rPr>
          <w:rFonts w:asciiTheme="majorHAnsi" w:hAnsiTheme="majorHAnsi" w:cstheme="majorHAnsi"/>
          <w:sz w:val="24"/>
          <w:szCs w:val="24"/>
        </w:rPr>
        <w:t>) médio ou (</w:t>
      </w:r>
      <w:r w:rsidR="00D2693F">
        <w:rPr>
          <w:rFonts w:asciiTheme="majorHAnsi" w:hAnsiTheme="majorHAnsi" w:cstheme="majorHAnsi"/>
          <w:sz w:val="24"/>
          <w:szCs w:val="24"/>
        </w:rPr>
        <w:t xml:space="preserve">   </w:t>
      </w:r>
      <w:r w:rsidRPr="00C000A1">
        <w:rPr>
          <w:rFonts w:asciiTheme="majorHAnsi" w:hAnsiTheme="majorHAnsi" w:cstheme="majorHAnsi"/>
          <w:sz w:val="24"/>
          <w:szCs w:val="24"/>
        </w:rPr>
        <w:t xml:space="preserve">) 3º quartil, de acordo com as </w:t>
      </w:r>
      <w:r w:rsidRPr="00C000A1">
        <w:rPr>
          <w:rFonts w:asciiTheme="majorHAnsi" w:hAnsiTheme="majorHAnsi" w:cstheme="majorHAnsi"/>
          <w:b/>
          <w:bCs/>
          <w:sz w:val="24"/>
          <w:szCs w:val="24"/>
        </w:rPr>
        <w:t>justificativas</w:t>
      </w:r>
      <w:r w:rsidRPr="00C000A1">
        <w:rPr>
          <w:rFonts w:asciiTheme="majorHAnsi" w:hAnsiTheme="majorHAnsi" w:cstheme="majorHAnsi"/>
          <w:sz w:val="24"/>
          <w:szCs w:val="24"/>
        </w:rPr>
        <w:t xml:space="preserve"> técnicas abaixo apresentadas</w:t>
      </w:r>
      <w:r w:rsidR="00C0607D" w:rsidRPr="00C000A1">
        <w:rPr>
          <w:rFonts w:asciiTheme="majorHAnsi" w:hAnsiTheme="majorHAnsi" w:cstheme="majorHAnsi"/>
          <w:sz w:val="24"/>
          <w:szCs w:val="24"/>
        </w:rPr>
        <w:t xml:space="preserve"> </w:t>
      </w:r>
      <w:r w:rsidR="00C0607D" w:rsidRPr="00C000A1">
        <w:rPr>
          <w:rFonts w:asciiTheme="majorHAnsi" w:hAnsiTheme="majorHAnsi" w:cstheme="majorHAnsi"/>
          <w:b/>
          <w:bCs/>
          <w:sz w:val="24"/>
          <w:szCs w:val="24"/>
        </w:rPr>
        <w:t>para os casos em que não foi adotado o médio</w:t>
      </w:r>
      <w:r w:rsidR="00C0607D" w:rsidRPr="00C000A1">
        <w:rPr>
          <w:rFonts w:asciiTheme="majorHAnsi" w:hAnsiTheme="majorHAnsi" w:cstheme="majorHAnsi"/>
          <w:sz w:val="24"/>
          <w:szCs w:val="24"/>
        </w:rPr>
        <w:t>:</w:t>
      </w:r>
    </w:p>
    <w:p w14:paraId="3813DCC4" w14:textId="77777777" w:rsidR="00D2693F" w:rsidRPr="00D2693F" w:rsidRDefault="00D2693F" w:rsidP="00D2693F">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NÃO HAVERÁ FORNECIMENTO DE MATERIAIS E EQUIPAMENTOS ESPECÍFICOS PARA A EXECUÇÃO DO OBJETO.</w:t>
      </w:r>
    </w:p>
    <w:p w14:paraId="7738A71E" w14:textId="7354F37C" w:rsidR="00155592" w:rsidRPr="00C000A1" w:rsidRDefault="00155592"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w:t>
      </w:r>
      <w:r w:rsidR="00D2693F">
        <w:rPr>
          <w:rFonts w:asciiTheme="majorHAnsi" w:hAnsiTheme="majorHAnsi" w:cstheme="majorHAnsi"/>
          <w:sz w:val="24"/>
          <w:szCs w:val="24"/>
        </w:rPr>
        <w:t xml:space="preserve">   </w:t>
      </w:r>
      <w:r w:rsidRPr="00C000A1">
        <w:rPr>
          <w:rFonts w:asciiTheme="majorHAnsi" w:hAnsiTheme="majorHAnsi" w:cstheme="majorHAnsi"/>
          <w:sz w:val="24"/>
          <w:szCs w:val="24"/>
        </w:rPr>
        <w:t xml:space="preserve">) foi adotado percentual superior ao 3º quartil, em razão das peculiaridades do objeto licitado, de acordo com as </w:t>
      </w:r>
      <w:r w:rsidRPr="00C000A1">
        <w:rPr>
          <w:rFonts w:asciiTheme="majorHAnsi" w:hAnsiTheme="majorHAnsi" w:cstheme="majorHAnsi"/>
          <w:b/>
          <w:sz w:val="24"/>
          <w:szCs w:val="24"/>
        </w:rPr>
        <w:t>justificativas</w:t>
      </w:r>
      <w:r w:rsidRPr="00C000A1">
        <w:rPr>
          <w:rFonts w:asciiTheme="majorHAnsi" w:hAnsiTheme="majorHAnsi" w:cstheme="majorHAnsi"/>
          <w:sz w:val="24"/>
          <w:szCs w:val="24"/>
        </w:rPr>
        <w:t xml:space="preserve"> técnicas abaixo apresentadas:</w:t>
      </w:r>
    </w:p>
    <w:p w14:paraId="6D0915D4" w14:textId="77777777" w:rsidR="00D2693F" w:rsidRPr="00D2693F" w:rsidRDefault="00D2693F" w:rsidP="00D2693F">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NÃO HAVERÁ FORNECIMENTO DE MATERIAIS E EQUIPAMENTOS ESPECÍFICOS PARA A EXECUÇÃO DO OBJETO.</w:t>
      </w:r>
    </w:p>
    <w:p w14:paraId="74433617" w14:textId="3D64984A" w:rsidR="00DC7BBD" w:rsidRDefault="001E704A"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11" w:history="1">
        <w:r w:rsidR="00DC7BBD" w:rsidRPr="00E04D41">
          <w:rPr>
            <w:rStyle w:val="Hyperlink"/>
            <w:rFonts w:asciiTheme="majorHAnsi" w:hAnsiTheme="majorHAnsi" w:cstheme="majorHAnsi"/>
            <w:sz w:val="24"/>
            <w:szCs w:val="24"/>
          </w:rPr>
          <w:t xml:space="preserve">Vide </w:t>
        </w:r>
        <w:r w:rsidR="00D053FD" w:rsidRPr="00E04D41">
          <w:rPr>
            <w:rStyle w:val="Hyperlink"/>
            <w:rFonts w:asciiTheme="majorHAnsi" w:hAnsiTheme="majorHAnsi" w:cstheme="majorHAnsi"/>
            <w:sz w:val="24"/>
            <w:szCs w:val="24"/>
          </w:rPr>
          <w:t>Nota Explicativa n. 1</w:t>
        </w:r>
        <w:r w:rsidR="00E04D41" w:rsidRPr="00E04D41">
          <w:rPr>
            <w:rStyle w:val="Hyperlink"/>
            <w:rFonts w:asciiTheme="majorHAnsi" w:hAnsiTheme="majorHAnsi" w:cstheme="majorHAnsi"/>
            <w:sz w:val="24"/>
            <w:szCs w:val="24"/>
          </w:rPr>
          <w:t>1</w:t>
        </w:r>
        <w:r w:rsidR="00D053FD" w:rsidRPr="00E04D41">
          <w:rPr>
            <w:rStyle w:val="Hyperlink"/>
            <w:rFonts w:asciiTheme="majorHAnsi" w:hAnsiTheme="majorHAnsi" w:cstheme="majorHAnsi"/>
            <w:sz w:val="24"/>
            <w:szCs w:val="24"/>
          </w:rPr>
          <w:t>.</w:t>
        </w:r>
      </w:hyperlink>
    </w:p>
    <w:p w14:paraId="4883B250" w14:textId="77777777" w:rsidR="002769F9" w:rsidRPr="00C000A1" w:rsidRDefault="002769F9"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51F14783" w14:textId="47E145F5" w:rsidR="008D6D97"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30" w:name="_Toc142556195"/>
      <w:bookmarkStart w:id="31" w:name="nt_12_retorno"/>
      <w:r w:rsidRPr="00C000A1">
        <w:rPr>
          <w:rFonts w:cstheme="majorHAnsi"/>
          <w:caps w:val="0"/>
          <w:szCs w:val="24"/>
        </w:rPr>
        <w:t>ELABORAÇÃO DE CRONOGRAMA FÍSICO-FINANCEIRO</w:t>
      </w:r>
      <w:bookmarkEnd w:id="30"/>
    </w:p>
    <w:bookmarkEnd w:id="31"/>
    <w:p w14:paraId="2CC3D3C6" w14:textId="77777777" w:rsidR="00516F68" w:rsidRDefault="008D6D97"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O cronograma físico-financeiro</w:t>
      </w:r>
      <w:r w:rsidR="00516F68">
        <w:rPr>
          <w:rFonts w:asciiTheme="majorHAnsi" w:hAnsiTheme="majorHAnsi" w:cstheme="majorHAnsi"/>
          <w:sz w:val="24"/>
          <w:szCs w:val="24"/>
        </w:rPr>
        <w:t>:</w:t>
      </w:r>
    </w:p>
    <w:p w14:paraId="05B0367B" w14:textId="57C4C3AE" w:rsidR="00516F68" w:rsidRDefault="0030750E" w:rsidP="00C000A1">
      <w:pPr>
        <w:pStyle w:val="Normal-TJTR"/>
        <w:spacing w:after="360"/>
        <w:rPr>
          <w:rFonts w:asciiTheme="majorHAnsi" w:hAnsiTheme="majorHAnsi" w:cstheme="majorHAnsi"/>
          <w:sz w:val="24"/>
          <w:szCs w:val="24"/>
        </w:rPr>
      </w:pPr>
      <w:proofErr w:type="gramStart"/>
      <w:r w:rsidRPr="00C000A1">
        <w:rPr>
          <w:rFonts w:asciiTheme="majorHAnsi" w:hAnsiTheme="majorHAnsi" w:cstheme="majorHAnsi"/>
          <w:sz w:val="24"/>
          <w:szCs w:val="24"/>
        </w:rPr>
        <w:t>(</w:t>
      </w:r>
      <w:r w:rsidR="00D2693F">
        <w:rPr>
          <w:rFonts w:asciiTheme="majorHAnsi" w:hAnsiTheme="majorHAnsi" w:cstheme="majorHAnsi"/>
          <w:sz w:val="24"/>
          <w:szCs w:val="24"/>
        </w:rPr>
        <w:t xml:space="preserve"> </w:t>
      </w:r>
      <w:r w:rsidR="00D2693F">
        <w:rPr>
          <w:rFonts w:asciiTheme="majorHAnsi" w:hAnsiTheme="majorHAnsi" w:cstheme="majorHAnsi"/>
          <w:b/>
          <w:bCs/>
          <w:sz w:val="24"/>
          <w:szCs w:val="24"/>
          <w:u w:val="single"/>
        </w:rPr>
        <w:t>X</w:t>
      </w:r>
      <w:proofErr w:type="gramEnd"/>
      <w:r w:rsidR="00D2693F">
        <w:rPr>
          <w:rFonts w:asciiTheme="majorHAnsi" w:hAnsiTheme="majorHAnsi" w:cstheme="majorHAnsi"/>
          <w:sz w:val="24"/>
          <w:szCs w:val="24"/>
        </w:rPr>
        <w:t xml:space="preserve"> </w:t>
      </w:r>
      <w:r w:rsidRPr="00C000A1">
        <w:rPr>
          <w:rFonts w:asciiTheme="majorHAnsi" w:hAnsiTheme="majorHAnsi" w:cstheme="majorHAnsi"/>
          <w:sz w:val="24"/>
          <w:szCs w:val="24"/>
        </w:rPr>
        <w:t xml:space="preserve">) FOI </w:t>
      </w:r>
      <w:r w:rsidR="00C74B69" w:rsidRPr="00C000A1">
        <w:rPr>
          <w:rFonts w:asciiTheme="majorHAnsi" w:hAnsiTheme="majorHAnsi" w:cstheme="majorHAnsi"/>
          <w:sz w:val="24"/>
          <w:szCs w:val="24"/>
        </w:rPr>
        <w:t>juntado aos autos</w:t>
      </w:r>
    </w:p>
    <w:p w14:paraId="4BB063CD" w14:textId="17B6E754" w:rsidR="00F908A0" w:rsidRPr="00C000A1" w:rsidRDefault="00E07AFC" w:rsidP="00C000A1">
      <w:pPr>
        <w:pStyle w:val="Normal-TJTR"/>
        <w:spacing w:after="360"/>
        <w:rPr>
          <w:rFonts w:asciiTheme="majorHAnsi" w:hAnsiTheme="majorHAnsi" w:cstheme="majorHAnsi"/>
          <w:sz w:val="24"/>
          <w:szCs w:val="24"/>
        </w:rPr>
      </w:pPr>
      <w:proofErr w:type="gramStart"/>
      <w:r>
        <w:rPr>
          <w:rFonts w:asciiTheme="majorHAnsi" w:hAnsiTheme="majorHAnsi" w:cstheme="majorHAnsi"/>
          <w:sz w:val="24"/>
          <w:szCs w:val="24"/>
        </w:rPr>
        <w:t>(</w:t>
      </w:r>
      <w:r w:rsidR="00D2693F">
        <w:rPr>
          <w:rFonts w:asciiTheme="majorHAnsi" w:hAnsiTheme="majorHAnsi" w:cstheme="majorHAnsi"/>
          <w:sz w:val="24"/>
          <w:szCs w:val="24"/>
        </w:rPr>
        <w:t xml:space="preserve">  </w:t>
      </w:r>
      <w:proofErr w:type="gramEnd"/>
      <w:r w:rsidR="00D2693F">
        <w:rPr>
          <w:rFonts w:asciiTheme="majorHAnsi" w:hAnsiTheme="majorHAnsi" w:cstheme="majorHAnsi"/>
          <w:sz w:val="24"/>
          <w:szCs w:val="24"/>
        </w:rPr>
        <w:t xml:space="preserve"> </w:t>
      </w:r>
      <w:r>
        <w:rPr>
          <w:rFonts w:asciiTheme="majorHAnsi" w:hAnsiTheme="majorHAnsi" w:cstheme="majorHAnsi"/>
          <w:sz w:val="24"/>
          <w:szCs w:val="24"/>
        </w:rPr>
        <w:t>) NÃO foi juntado aos autos.</w:t>
      </w:r>
    </w:p>
    <w:p w14:paraId="1E5A7347" w14:textId="305F8D41" w:rsidR="00516F68" w:rsidRPr="000A282E" w:rsidRDefault="000A282E" w:rsidP="00C000A1">
      <w:pPr>
        <w:pStyle w:val="Normal-TJTR"/>
        <w:spacing w:after="360"/>
        <w:rPr>
          <w:rFonts w:asciiTheme="majorHAnsi" w:hAnsiTheme="majorHAnsi" w:cstheme="majorHAnsi"/>
          <w:sz w:val="24"/>
          <w:szCs w:val="24"/>
        </w:rPr>
      </w:pPr>
      <w:r w:rsidRPr="000A282E">
        <w:rPr>
          <w:rFonts w:asciiTheme="majorHAnsi" w:hAnsiTheme="majorHAnsi" w:cstheme="majorHAnsi"/>
          <w:sz w:val="24"/>
          <w:szCs w:val="24"/>
        </w:rPr>
        <w:t>Na hipótese de ter sido adotado o</w:t>
      </w:r>
      <w:r w:rsidR="008D6D97" w:rsidRPr="000A282E">
        <w:rPr>
          <w:rFonts w:asciiTheme="majorHAnsi" w:hAnsiTheme="majorHAnsi" w:cstheme="majorHAnsi"/>
          <w:sz w:val="24"/>
          <w:szCs w:val="24"/>
        </w:rPr>
        <w:t xml:space="preserve"> regime de empreitada por preço global</w:t>
      </w:r>
      <w:r w:rsidRPr="000A282E">
        <w:rPr>
          <w:rFonts w:asciiTheme="majorHAnsi" w:hAnsiTheme="majorHAnsi" w:cstheme="majorHAnsi"/>
          <w:sz w:val="24"/>
          <w:szCs w:val="24"/>
        </w:rPr>
        <w:t>, o</w:t>
      </w:r>
      <w:r w:rsidR="008D6D97" w:rsidRPr="000A282E">
        <w:rPr>
          <w:rFonts w:asciiTheme="majorHAnsi" w:hAnsiTheme="majorHAnsi" w:cstheme="majorHAnsi"/>
          <w:sz w:val="24"/>
          <w:szCs w:val="24"/>
        </w:rPr>
        <w:t xml:space="preserve"> cronograma físico-financeiro</w:t>
      </w:r>
      <w:r>
        <w:rPr>
          <w:rFonts w:asciiTheme="majorHAnsi" w:hAnsiTheme="majorHAnsi" w:cstheme="majorHAnsi"/>
          <w:sz w:val="24"/>
          <w:szCs w:val="24"/>
        </w:rPr>
        <w:t>:</w:t>
      </w:r>
    </w:p>
    <w:p w14:paraId="0E50FC92" w14:textId="0FBDD2E8" w:rsidR="008D6D97" w:rsidRDefault="008D6D97" w:rsidP="00C000A1">
      <w:pPr>
        <w:pStyle w:val="Normal-TJTR"/>
        <w:spacing w:after="360"/>
        <w:rPr>
          <w:rFonts w:asciiTheme="majorHAnsi" w:hAnsiTheme="majorHAnsi" w:cstheme="majorHAnsi"/>
          <w:sz w:val="24"/>
          <w:szCs w:val="24"/>
        </w:rPr>
      </w:pPr>
      <w:proofErr w:type="gramStart"/>
      <w:r w:rsidRPr="00C000A1">
        <w:rPr>
          <w:rFonts w:asciiTheme="majorHAnsi" w:hAnsiTheme="majorHAnsi" w:cstheme="majorHAnsi"/>
          <w:sz w:val="24"/>
          <w:szCs w:val="24"/>
        </w:rPr>
        <w:t>(</w:t>
      </w:r>
      <w:r w:rsidR="00D2693F">
        <w:rPr>
          <w:rFonts w:asciiTheme="majorHAnsi" w:hAnsiTheme="majorHAnsi" w:cstheme="majorHAnsi"/>
          <w:sz w:val="24"/>
          <w:szCs w:val="24"/>
        </w:rPr>
        <w:t xml:space="preserve"> </w:t>
      </w:r>
      <w:r w:rsidR="00D2693F">
        <w:rPr>
          <w:rFonts w:asciiTheme="majorHAnsi" w:hAnsiTheme="majorHAnsi" w:cstheme="majorHAnsi"/>
          <w:b/>
          <w:bCs/>
          <w:sz w:val="24"/>
          <w:szCs w:val="24"/>
          <w:u w:val="single"/>
        </w:rPr>
        <w:t>X</w:t>
      </w:r>
      <w:proofErr w:type="gramEnd"/>
      <w:r w:rsidR="00D2693F">
        <w:rPr>
          <w:rFonts w:asciiTheme="majorHAnsi" w:hAnsiTheme="majorHAnsi" w:cstheme="majorHAnsi"/>
          <w:sz w:val="24"/>
          <w:szCs w:val="24"/>
        </w:rPr>
        <w:t xml:space="preserve"> </w:t>
      </w:r>
      <w:r w:rsidRPr="00C000A1">
        <w:rPr>
          <w:rFonts w:asciiTheme="majorHAnsi" w:hAnsiTheme="majorHAnsi" w:cstheme="majorHAnsi"/>
          <w:sz w:val="24"/>
          <w:szCs w:val="24"/>
        </w:rPr>
        <w:t>) DEFINE com clareza as etapas de serviços que guiarão a aceitabilidade dos preços propostos pelos licitantes.</w:t>
      </w:r>
    </w:p>
    <w:p w14:paraId="4FFFAD01" w14:textId="4F9E856F" w:rsidR="00516F68" w:rsidRPr="00C000A1" w:rsidRDefault="00516F68" w:rsidP="00C000A1">
      <w:pPr>
        <w:pStyle w:val="Normal-TJTR"/>
        <w:spacing w:after="360"/>
        <w:rPr>
          <w:rFonts w:asciiTheme="majorHAnsi" w:hAnsiTheme="majorHAnsi" w:cstheme="majorHAnsi"/>
          <w:sz w:val="24"/>
          <w:szCs w:val="24"/>
        </w:rPr>
      </w:pPr>
      <w:proofErr w:type="gramStart"/>
      <w:r w:rsidRPr="00C000A1">
        <w:rPr>
          <w:rFonts w:asciiTheme="majorHAnsi" w:hAnsiTheme="majorHAnsi" w:cstheme="majorHAnsi"/>
          <w:sz w:val="24"/>
          <w:szCs w:val="24"/>
        </w:rPr>
        <w:t xml:space="preserve">(  </w:t>
      </w:r>
      <w:proofErr w:type="gramEnd"/>
      <w:r w:rsidRPr="00C000A1">
        <w:rPr>
          <w:rFonts w:asciiTheme="majorHAnsi" w:hAnsiTheme="majorHAnsi" w:cstheme="majorHAnsi"/>
          <w:sz w:val="24"/>
          <w:szCs w:val="24"/>
        </w:rPr>
        <w:t xml:space="preserve">   ) </w:t>
      </w:r>
      <w:r>
        <w:rPr>
          <w:rFonts w:asciiTheme="majorHAnsi" w:hAnsiTheme="majorHAnsi" w:cstheme="majorHAnsi"/>
          <w:sz w:val="24"/>
          <w:szCs w:val="24"/>
        </w:rPr>
        <w:t>NÃO define</w:t>
      </w:r>
      <w:r w:rsidRPr="00C000A1">
        <w:rPr>
          <w:rFonts w:asciiTheme="majorHAnsi" w:hAnsiTheme="majorHAnsi" w:cstheme="majorHAnsi"/>
          <w:sz w:val="24"/>
          <w:szCs w:val="24"/>
        </w:rPr>
        <w:t xml:space="preserve"> com clareza as etapas de serviços que guiarão a aceitabilidade dos preços propostos pelos licitantes.</w:t>
      </w:r>
    </w:p>
    <w:p w14:paraId="3CA5B081" w14:textId="68FDFF03" w:rsidR="00DC7BBD" w:rsidRDefault="001E704A" w:rsidP="00C000A1">
      <w:pPr>
        <w:pStyle w:val="TextoAGU"/>
        <w:numPr>
          <w:ilvl w:val="0"/>
          <w:numId w:val="0"/>
        </w:numPr>
        <w:tabs>
          <w:tab w:val="clear" w:pos="1418"/>
        </w:tabs>
        <w:spacing w:before="0" w:after="360"/>
        <w:rPr>
          <w:rStyle w:val="Hyperlink"/>
          <w:rFonts w:asciiTheme="majorHAnsi" w:hAnsiTheme="majorHAnsi" w:cstheme="majorHAnsi"/>
          <w:sz w:val="24"/>
          <w:szCs w:val="24"/>
        </w:rPr>
      </w:pPr>
      <w:hyperlink w:anchor="nt_12" w:history="1">
        <w:r w:rsidR="00DC7BBD" w:rsidRPr="00E04D41">
          <w:rPr>
            <w:rStyle w:val="Hyperlink"/>
            <w:rFonts w:asciiTheme="majorHAnsi" w:hAnsiTheme="majorHAnsi" w:cstheme="majorHAnsi"/>
            <w:sz w:val="24"/>
            <w:szCs w:val="24"/>
          </w:rPr>
          <w:t xml:space="preserve">Vide </w:t>
        </w:r>
        <w:r w:rsidR="00D053FD" w:rsidRPr="00E04D41">
          <w:rPr>
            <w:rStyle w:val="Hyperlink"/>
            <w:rFonts w:asciiTheme="majorHAnsi" w:hAnsiTheme="majorHAnsi" w:cstheme="majorHAnsi"/>
            <w:sz w:val="24"/>
            <w:szCs w:val="24"/>
          </w:rPr>
          <w:t>Nota Explicativa n. 1</w:t>
        </w:r>
        <w:r w:rsidR="00E04D41" w:rsidRPr="00E04D41">
          <w:rPr>
            <w:rStyle w:val="Hyperlink"/>
            <w:rFonts w:asciiTheme="majorHAnsi" w:hAnsiTheme="majorHAnsi" w:cstheme="majorHAnsi"/>
            <w:sz w:val="24"/>
            <w:szCs w:val="24"/>
          </w:rPr>
          <w:t>2</w:t>
        </w:r>
        <w:r w:rsidR="00D053FD" w:rsidRPr="00E04D41">
          <w:rPr>
            <w:rStyle w:val="Hyperlink"/>
            <w:rFonts w:asciiTheme="majorHAnsi" w:hAnsiTheme="majorHAnsi" w:cstheme="majorHAnsi"/>
            <w:sz w:val="24"/>
            <w:szCs w:val="24"/>
          </w:rPr>
          <w:t>.</w:t>
        </w:r>
      </w:hyperlink>
    </w:p>
    <w:p w14:paraId="732D0595" w14:textId="77777777" w:rsidR="005D603D" w:rsidRPr="00C000A1" w:rsidRDefault="005D603D"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0C754C98" w14:textId="333A000B" w:rsidR="0554D60B" w:rsidRPr="0025785B" w:rsidRDefault="006014BF" w:rsidP="00533725">
      <w:pPr>
        <w:pStyle w:val="TJTRSubTT"/>
        <w:shd w:val="clear" w:color="auto" w:fill="D9D9D9" w:themeFill="background1" w:themeFillShade="D9"/>
        <w:spacing w:before="0" w:after="360"/>
        <w:ind w:left="0" w:firstLine="0"/>
        <w:rPr>
          <w:rFonts w:cstheme="majorHAnsi"/>
          <w:szCs w:val="24"/>
        </w:rPr>
      </w:pPr>
      <w:bookmarkStart w:id="32" w:name="_Toc142556196"/>
      <w:bookmarkStart w:id="33" w:name="nt_13_retorno"/>
      <w:r w:rsidRPr="0025785B">
        <w:rPr>
          <w:rFonts w:cstheme="majorHAnsi"/>
          <w:caps w:val="0"/>
          <w:szCs w:val="24"/>
        </w:rPr>
        <w:lastRenderedPageBreak/>
        <w:t>PROJETO EXECUTIVO</w:t>
      </w:r>
      <w:bookmarkEnd w:id="32"/>
    </w:p>
    <w:bookmarkEnd w:id="33"/>
    <w:p w14:paraId="1CFA3ACB" w14:textId="7EECD21B" w:rsidR="60528DB6" w:rsidRPr="00B105EE" w:rsidRDefault="60528DB6"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w:t>
      </w:r>
      <w:r w:rsidR="00D2693F">
        <w:rPr>
          <w:rFonts w:asciiTheme="majorHAnsi" w:hAnsiTheme="majorHAnsi" w:cstheme="majorHAnsi"/>
          <w:sz w:val="24"/>
          <w:szCs w:val="24"/>
        </w:rPr>
        <w:t xml:space="preserve"> </w:t>
      </w:r>
      <w:r w:rsidR="00207892">
        <w:rPr>
          <w:rFonts w:asciiTheme="majorHAnsi" w:hAnsiTheme="majorHAnsi" w:cstheme="majorHAnsi"/>
          <w:sz w:val="24"/>
          <w:szCs w:val="24"/>
        </w:rPr>
        <w:t xml:space="preserve"> </w:t>
      </w:r>
      <w:r w:rsidR="00D2693F">
        <w:rPr>
          <w:rFonts w:asciiTheme="majorHAnsi" w:hAnsiTheme="majorHAnsi" w:cstheme="majorHAnsi"/>
          <w:sz w:val="24"/>
          <w:szCs w:val="24"/>
        </w:rPr>
        <w:t xml:space="preserve"> </w:t>
      </w:r>
      <w:r w:rsidRPr="00B105EE">
        <w:rPr>
          <w:rFonts w:asciiTheme="majorHAnsi" w:hAnsiTheme="majorHAnsi" w:cstheme="majorHAnsi"/>
          <w:sz w:val="24"/>
          <w:szCs w:val="24"/>
        </w:rPr>
        <w:t>) FORAM elaborados os projetos executivos relativos ao objeto, juntados aos autos e divulgados com o edital da licitação;</w:t>
      </w:r>
    </w:p>
    <w:p w14:paraId="4669173E" w14:textId="0AC19C16" w:rsidR="60528DB6" w:rsidRDefault="60528DB6" w:rsidP="00C000A1">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w:t>
      </w:r>
      <w:r w:rsidR="00D2693F">
        <w:rPr>
          <w:rFonts w:asciiTheme="majorHAnsi" w:hAnsiTheme="majorHAnsi" w:cstheme="majorHAnsi"/>
          <w:sz w:val="24"/>
          <w:szCs w:val="24"/>
        </w:rPr>
        <w:t xml:space="preserve"> </w:t>
      </w:r>
      <w:r w:rsidR="00207892">
        <w:rPr>
          <w:rFonts w:asciiTheme="majorHAnsi" w:hAnsiTheme="majorHAnsi" w:cstheme="majorHAnsi"/>
          <w:b/>
          <w:bCs/>
          <w:sz w:val="24"/>
          <w:szCs w:val="24"/>
          <w:u w:val="single"/>
        </w:rPr>
        <w:t>X</w:t>
      </w:r>
      <w:r w:rsidR="00D2693F">
        <w:rPr>
          <w:rFonts w:asciiTheme="majorHAnsi" w:hAnsiTheme="majorHAnsi" w:cstheme="majorHAnsi"/>
          <w:sz w:val="24"/>
          <w:szCs w:val="24"/>
        </w:rPr>
        <w:t xml:space="preserve"> </w:t>
      </w:r>
      <w:r w:rsidRPr="00B105EE">
        <w:rPr>
          <w:rFonts w:asciiTheme="majorHAnsi" w:hAnsiTheme="majorHAnsi" w:cstheme="majorHAnsi"/>
          <w:sz w:val="24"/>
          <w:szCs w:val="24"/>
        </w:rPr>
        <w:t>) NÃO FORAM elaborados os projetos executivos, sendo tal atribuição expressamente repassada à contratada, com os custos contemplados na planilha orçamentária elaborada.</w:t>
      </w:r>
      <w:r w:rsidRPr="00C000A1">
        <w:rPr>
          <w:rFonts w:asciiTheme="majorHAnsi" w:hAnsiTheme="majorHAnsi" w:cstheme="majorHAnsi"/>
          <w:sz w:val="24"/>
          <w:szCs w:val="24"/>
        </w:rPr>
        <w:t xml:space="preserve"> </w:t>
      </w:r>
      <w:r w:rsidRPr="00B105EE">
        <w:rPr>
          <w:rFonts w:asciiTheme="majorHAnsi" w:hAnsiTheme="majorHAnsi" w:cstheme="majorHAnsi"/>
          <w:sz w:val="24"/>
          <w:szCs w:val="24"/>
        </w:rPr>
        <w:t>Nessa hipótese, (</w:t>
      </w:r>
      <w:r w:rsidR="00207892">
        <w:rPr>
          <w:rFonts w:asciiTheme="majorHAnsi" w:hAnsiTheme="majorHAnsi" w:cstheme="majorHAnsi"/>
          <w:sz w:val="24"/>
          <w:szCs w:val="24"/>
        </w:rPr>
        <w:t xml:space="preserve"> </w:t>
      </w:r>
      <w:r w:rsidR="00207892">
        <w:rPr>
          <w:rFonts w:asciiTheme="majorHAnsi" w:hAnsiTheme="majorHAnsi" w:cstheme="majorHAnsi"/>
          <w:b/>
          <w:bCs/>
          <w:sz w:val="24"/>
          <w:szCs w:val="24"/>
          <w:u w:val="single"/>
        </w:rPr>
        <w:t>X</w:t>
      </w:r>
      <w:r w:rsidR="00207892">
        <w:rPr>
          <w:rFonts w:asciiTheme="majorHAnsi" w:hAnsiTheme="majorHAnsi" w:cstheme="majorHAnsi"/>
          <w:b/>
          <w:bCs/>
          <w:sz w:val="24"/>
          <w:szCs w:val="24"/>
        </w:rPr>
        <w:t xml:space="preserve"> </w:t>
      </w:r>
      <w:r w:rsidRPr="00B105EE">
        <w:rPr>
          <w:rFonts w:asciiTheme="majorHAnsi" w:hAnsiTheme="majorHAnsi" w:cstheme="majorHAnsi"/>
          <w:sz w:val="24"/>
          <w:szCs w:val="24"/>
        </w:rPr>
        <w:t>) ATESTO que o projeto básico e os demais documentos técnicos da licitação possuem nível de detalhamento adequado e suficiente para permitir a elaboração dos projetos executivo</w:t>
      </w:r>
      <w:r w:rsidRPr="00C000A1">
        <w:rPr>
          <w:rFonts w:asciiTheme="majorHAnsi" w:hAnsiTheme="majorHAnsi" w:cstheme="majorHAnsi"/>
          <w:sz w:val="24"/>
          <w:szCs w:val="24"/>
        </w:rPr>
        <w:t>s</w:t>
      </w:r>
      <w:r w:rsidRPr="00B105EE">
        <w:rPr>
          <w:rFonts w:asciiTheme="majorHAnsi" w:hAnsiTheme="majorHAnsi" w:cstheme="majorHAnsi"/>
          <w:sz w:val="24"/>
          <w:szCs w:val="24"/>
        </w:rPr>
        <w:t xml:space="preserve"> pela contratada.</w:t>
      </w:r>
    </w:p>
    <w:p w14:paraId="5FFBA7EE" w14:textId="4D17C462" w:rsidR="000C5AD6" w:rsidRPr="00B105EE" w:rsidRDefault="001E704A" w:rsidP="000C5AD6">
      <w:pPr>
        <w:pStyle w:val="Normal-TJTR"/>
        <w:spacing w:after="360"/>
        <w:rPr>
          <w:rFonts w:asciiTheme="majorHAnsi" w:hAnsiTheme="majorHAnsi" w:cstheme="majorHAnsi"/>
          <w:sz w:val="24"/>
          <w:szCs w:val="24"/>
        </w:rPr>
      </w:pPr>
      <w:hyperlink w:anchor="nt_13" w:history="1">
        <w:r w:rsidR="000C5AD6" w:rsidRPr="00E04D41">
          <w:rPr>
            <w:rStyle w:val="Hyperlink"/>
            <w:rFonts w:asciiTheme="majorHAnsi" w:hAnsiTheme="majorHAnsi" w:cstheme="majorHAnsi"/>
            <w:sz w:val="24"/>
            <w:szCs w:val="24"/>
          </w:rPr>
          <w:t>Vide Nota Explicativa n</w:t>
        </w:r>
        <w:r w:rsidR="00435428" w:rsidRPr="00E04D41">
          <w:rPr>
            <w:rStyle w:val="Hyperlink"/>
            <w:rFonts w:asciiTheme="majorHAnsi" w:hAnsiTheme="majorHAnsi" w:cstheme="majorHAnsi"/>
            <w:sz w:val="24"/>
            <w:szCs w:val="24"/>
          </w:rPr>
          <w:t>. 1</w:t>
        </w:r>
        <w:r w:rsidR="00E04D41" w:rsidRPr="00E04D41">
          <w:rPr>
            <w:rStyle w:val="Hyperlink"/>
            <w:rFonts w:asciiTheme="majorHAnsi" w:hAnsiTheme="majorHAnsi" w:cstheme="majorHAnsi"/>
            <w:sz w:val="24"/>
            <w:szCs w:val="24"/>
          </w:rPr>
          <w:t>3</w:t>
        </w:r>
        <w:r w:rsidR="0049541F" w:rsidRPr="00E04D41">
          <w:rPr>
            <w:rStyle w:val="Hyperlink"/>
            <w:rFonts w:asciiTheme="majorHAnsi" w:hAnsiTheme="majorHAnsi" w:cstheme="majorHAnsi"/>
            <w:sz w:val="24"/>
            <w:szCs w:val="24"/>
          </w:rPr>
          <w:t>.</w:t>
        </w:r>
      </w:hyperlink>
    </w:p>
    <w:p w14:paraId="00996FB0" w14:textId="77777777" w:rsidR="003632D8" w:rsidRPr="00C000A1" w:rsidRDefault="003632D8" w:rsidP="003632D8">
      <w:pPr>
        <w:pStyle w:val="TextoAGU"/>
        <w:numPr>
          <w:ilvl w:val="0"/>
          <w:numId w:val="0"/>
        </w:numPr>
        <w:spacing w:before="0" w:after="360"/>
        <w:rPr>
          <w:rFonts w:asciiTheme="majorHAnsi" w:hAnsiTheme="majorHAnsi" w:cstheme="majorHAnsi"/>
          <w:color w:val="0000FF"/>
          <w:sz w:val="24"/>
          <w:szCs w:val="24"/>
        </w:rPr>
      </w:pPr>
    </w:p>
    <w:p w14:paraId="3D9C0949" w14:textId="41735F34" w:rsidR="003632D8" w:rsidRPr="003632D8" w:rsidRDefault="006014BF" w:rsidP="00533725">
      <w:pPr>
        <w:pStyle w:val="TJTRSubTT"/>
        <w:shd w:val="clear" w:color="auto" w:fill="D9D9D9" w:themeFill="background1" w:themeFillShade="D9"/>
        <w:spacing w:before="0" w:after="360"/>
        <w:ind w:left="0" w:firstLine="0"/>
        <w:rPr>
          <w:rFonts w:cstheme="majorHAnsi"/>
          <w:szCs w:val="24"/>
        </w:rPr>
      </w:pPr>
      <w:bookmarkStart w:id="34" w:name="_Toc142556197"/>
      <w:r>
        <w:rPr>
          <w:rFonts w:cstheme="majorHAnsi"/>
          <w:caps w:val="0"/>
          <w:szCs w:val="24"/>
        </w:rPr>
        <w:t>Q</w:t>
      </w:r>
      <w:bookmarkStart w:id="35" w:name="nt_14_retorno"/>
      <w:r>
        <w:rPr>
          <w:rFonts w:cstheme="majorHAnsi"/>
          <w:caps w:val="0"/>
          <w:szCs w:val="24"/>
        </w:rPr>
        <w:t>UALIFICAÇÃO TÉCNICA</w:t>
      </w:r>
      <w:bookmarkEnd w:id="34"/>
      <w:bookmarkEnd w:id="35"/>
    </w:p>
    <w:p w14:paraId="766B8B41" w14:textId="4FB0683F" w:rsidR="7A9FCD4C" w:rsidRPr="00C000A1" w:rsidRDefault="7A9FCD4C" w:rsidP="003632D8">
      <w:pPr>
        <w:pStyle w:val="Normal-TJTR"/>
        <w:spacing w:after="360"/>
        <w:rPr>
          <w:rFonts w:asciiTheme="majorHAnsi" w:hAnsiTheme="majorHAnsi" w:cstheme="majorHAnsi"/>
          <w:b/>
          <w:bCs/>
          <w:sz w:val="24"/>
          <w:szCs w:val="24"/>
        </w:rPr>
      </w:pPr>
      <w:r w:rsidRPr="00B105EE">
        <w:rPr>
          <w:rFonts w:asciiTheme="majorHAnsi" w:hAnsiTheme="majorHAnsi" w:cstheme="majorHAnsi"/>
          <w:b/>
          <w:bCs/>
          <w:sz w:val="24"/>
          <w:szCs w:val="24"/>
        </w:rPr>
        <w:t>Registro da empresa no conselho profissional</w:t>
      </w:r>
    </w:p>
    <w:p w14:paraId="77A3B2B8" w14:textId="32CB8828" w:rsidR="7A9FCD4C" w:rsidRPr="00C000A1" w:rsidRDefault="7A9FCD4C"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Na presente licitação, será exigido o registro da empresa licitante junto ao (</w:t>
      </w:r>
      <w:r w:rsidR="00D2693F">
        <w:rPr>
          <w:rFonts w:asciiTheme="majorHAnsi" w:hAnsiTheme="majorHAnsi" w:cstheme="majorHAnsi"/>
          <w:sz w:val="24"/>
          <w:szCs w:val="24"/>
        </w:rPr>
        <w:t xml:space="preserve"> </w:t>
      </w:r>
      <w:r w:rsidR="00D2693F">
        <w:rPr>
          <w:rFonts w:asciiTheme="majorHAnsi" w:hAnsiTheme="majorHAnsi" w:cstheme="majorHAnsi"/>
          <w:b/>
          <w:bCs/>
          <w:sz w:val="24"/>
          <w:szCs w:val="24"/>
          <w:u w:val="single"/>
        </w:rPr>
        <w:t>X</w:t>
      </w:r>
      <w:r w:rsidR="00D2693F">
        <w:rPr>
          <w:rFonts w:asciiTheme="majorHAnsi" w:hAnsiTheme="majorHAnsi" w:cstheme="majorHAnsi"/>
          <w:sz w:val="24"/>
          <w:szCs w:val="24"/>
        </w:rPr>
        <w:t xml:space="preserve"> </w:t>
      </w:r>
      <w:r w:rsidRPr="00B105EE">
        <w:rPr>
          <w:rFonts w:asciiTheme="majorHAnsi" w:hAnsiTheme="majorHAnsi" w:cstheme="majorHAnsi"/>
          <w:sz w:val="24"/>
          <w:szCs w:val="24"/>
        </w:rPr>
        <w:t xml:space="preserve">) CREA </w:t>
      </w:r>
      <w:r w:rsidR="00101868">
        <w:rPr>
          <w:rFonts w:asciiTheme="majorHAnsi" w:hAnsiTheme="majorHAnsi" w:cstheme="majorHAnsi"/>
          <w:sz w:val="24"/>
          <w:szCs w:val="24"/>
        </w:rPr>
        <w:t>e/</w:t>
      </w:r>
      <w:r w:rsidRPr="00B105EE">
        <w:rPr>
          <w:rFonts w:asciiTheme="majorHAnsi" w:hAnsiTheme="majorHAnsi" w:cstheme="majorHAnsi"/>
          <w:sz w:val="24"/>
          <w:szCs w:val="24"/>
        </w:rPr>
        <w:t xml:space="preserve">ou ao </w:t>
      </w:r>
      <w:r w:rsidR="00D2693F" w:rsidRPr="00B105EE">
        <w:rPr>
          <w:rFonts w:asciiTheme="majorHAnsi" w:hAnsiTheme="majorHAnsi" w:cstheme="majorHAnsi"/>
          <w:sz w:val="24"/>
          <w:szCs w:val="24"/>
        </w:rPr>
        <w:t>(</w:t>
      </w:r>
      <w:r w:rsidR="00D2693F">
        <w:rPr>
          <w:rFonts w:asciiTheme="majorHAnsi" w:hAnsiTheme="majorHAnsi" w:cstheme="majorHAnsi"/>
          <w:sz w:val="24"/>
          <w:szCs w:val="24"/>
        </w:rPr>
        <w:t xml:space="preserve"> </w:t>
      </w:r>
      <w:r w:rsidR="00D2693F">
        <w:rPr>
          <w:rFonts w:asciiTheme="majorHAnsi" w:hAnsiTheme="majorHAnsi" w:cstheme="majorHAnsi"/>
          <w:b/>
          <w:bCs/>
          <w:sz w:val="24"/>
          <w:szCs w:val="24"/>
          <w:u w:val="single"/>
        </w:rPr>
        <w:t>X</w:t>
      </w:r>
      <w:r w:rsidR="00D2693F">
        <w:rPr>
          <w:rFonts w:asciiTheme="majorHAnsi" w:hAnsiTheme="majorHAnsi" w:cstheme="majorHAnsi"/>
          <w:sz w:val="24"/>
          <w:szCs w:val="24"/>
        </w:rPr>
        <w:t xml:space="preserve"> </w:t>
      </w:r>
      <w:r w:rsidR="00D2693F" w:rsidRPr="00B105EE">
        <w:rPr>
          <w:rFonts w:asciiTheme="majorHAnsi" w:hAnsiTheme="majorHAnsi" w:cstheme="majorHAnsi"/>
          <w:sz w:val="24"/>
          <w:szCs w:val="24"/>
        </w:rPr>
        <w:t xml:space="preserve">) </w:t>
      </w:r>
      <w:r w:rsidRPr="00B105EE">
        <w:rPr>
          <w:rFonts w:asciiTheme="majorHAnsi" w:hAnsiTheme="majorHAnsi" w:cstheme="majorHAnsi"/>
          <w:sz w:val="24"/>
          <w:szCs w:val="24"/>
        </w:rPr>
        <w:t xml:space="preserve">CAU </w:t>
      </w:r>
      <w:r w:rsidR="00101868">
        <w:rPr>
          <w:rFonts w:asciiTheme="majorHAnsi" w:hAnsiTheme="majorHAnsi" w:cstheme="majorHAnsi"/>
          <w:sz w:val="24"/>
          <w:szCs w:val="24"/>
        </w:rPr>
        <w:t>e/</w:t>
      </w:r>
      <w:r w:rsidRPr="00B105EE">
        <w:rPr>
          <w:rFonts w:asciiTheme="majorHAnsi" w:hAnsiTheme="majorHAnsi" w:cstheme="majorHAnsi"/>
          <w:sz w:val="24"/>
          <w:szCs w:val="24"/>
        </w:rPr>
        <w:t>ou ao (</w:t>
      </w:r>
      <w:r w:rsidR="00D2693F">
        <w:rPr>
          <w:rFonts w:asciiTheme="majorHAnsi" w:hAnsiTheme="majorHAnsi" w:cstheme="majorHAnsi"/>
          <w:sz w:val="24"/>
          <w:szCs w:val="24"/>
        </w:rPr>
        <w:t xml:space="preserve">   </w:t>
      </w:r>
      <w:r w:rsidRPr="00B105EE">
        <w:rPr>
          <w:rFonts w:asciiTheme="majorHAnsi" w:hAnsiTheme="majorHAnsi" w:cstheme="majorHAnsi"/>
          <w:sz w:val="24"/>
          <w:szCs w:val="24"/>
        </w:rPr>
        <w:t>) CRT, com base na seguinte justificativa técnica:</w:t>
      </w:r>
    </w:p>
    <w:p w14:paraId="4C6A21DA" w14:textId="365C6EB7" w:rsidR="0554D60B" w:rsidRPr="00D2693F" w:rsidRDefault="001902CF" w:rsidP="00C000A1">
      <w:pPr>
        <w:pStyle w:val="Normal-TJTR"/>
        <w:spacing w:after="360"/>
        <w:rPr>
          <w:rFonts w:asciiTheme="majorHAnsi" w:hAnsiTheme="majorHAnsi" w:cstheme="majorHAnsi"/>
          <w:b/>
          <w:bCs/>
          <w:sz w:val="24"/>
          <w:szCs w:val="24"/>
          <w:u w:val="single"/>
        </w:rPr>
      </w:pPr>
      <w:r>
        <w:rPr>
          <w:rFonts w:asciiTheme="majorHAnsi" w:hAnsiTheme="majorHAnsi" w:cstheme="majorHAnsi"/>
          <w:b/>
          <w:bCs/>
          <w:sz w:val="24"/>
          <w:szCs w:val="24"/>
          <w:u w:val="single"/>
        </w:rPr>
        <w:t>O REGISTRO É EXIGIDO, VISTO QUE AS ATIVIDADES REFERENTES AO OBJETO ESTÃO NO ÂMBITO DE COMPETÊNCIAS DOS CONSELHOS FISCALIZADORES.</w:t>
      </w:r>
    </w:p>
    <w:p w14:paraId="748D5DE4" w14:textId="08EA8332" w:rsidR="7A9FCD4C" w:rsidRPr="00C000A1" w:rsidRDefault="7A9FCD4C" w:rsidP="00C000A1">
      <w:pPr>
        <w:pStyle w:val="Normal-TJTR"/>
        <w:spacing w:after="360"/>
        <w:rPr>
          <w:rFonts w:asciiTheme="majorHAnsi" w:hAnsiTheme="majorHAnsi" w:cstheme="majorHAnsi"/>
          <w:b/>
          <w:bCs/>
          <w:sz w:val="24"/>
          <w:szCs w:val="24"/>
        </w:rPr>
      </w:pPr>
      <w:r w:rsidRPr="00B105EE">
        <w:rPr>
          <w:rFonts w:asciiTheme="majorHAnsi" w:hAnsiTheme="majorHAnsi" w:cstheme="majorHAnsi"/>
          <w:b/>
          <w:bCs/>
          <w:sz w:val="24"/>
          <w:szCs w:val="24"/>
        </w:rPr>
        <w:t>Capacidade técnico-operacional</w:t>
      </w:r>
    </w:p>
    <w:p w14:paraId="7845BE42" w14:textId="324B7AE9" w:rsidR="00F16B96" w:rsidRDefault="7A9FCD4C" w:rsidP="00C000A1">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Na presente licitação</w:t>
      </w:r>
      <w:r w:rsidR="00225713">
        <w:rPr>
          <w:rFonts w:asciiTheme="majorHAnsi" w:hAnsiTheme="majorHAnsi" w:cstheme="majorHAnsi"/>
          <w:sz w:val="24"/>
          <w:szCs w:val="24"/>
        </w:rPr>
        <w:t xml:space="preserve">: </w:t>
      </w:r>
    </w:p>
    <w:p w14:paraId="66C8F1B4" w14:textId="41E53A0C" w:rsidR="7A9FCD4C" w:rsidRPr="00B105EE" w:rsidRDefault="00F16B96" w:rsidP="00F16B96">
      <w:pPr>
        <w:pStyle w:val="Normal-TJTR"/>
        <w:spacing w:after="360"/>
        <w:rPr>
          <w:rFonts w:asciiTheme="majorHAnsi" w:hAnsiTheme="majorHAnsi" w:cstheme="majorHAnsi"/>
          <w:sz w:val="24"/>
          <w:szCs w:val="24"/>
        </w:rPr>
      </w:pPr>
      <w:proofErr w:type="gramStart"/>
      <w:r>
        <w:rPr>
          <w:rFonts w:asciiTheme="majorHAnsi" w:hAnsiTheme="majorHAnsi" w:cstheme="majorHAnsi"/>
          <w:sz w:val="24"/>
          <w:szCs w:val="24"/>
        </w:rPr>
        <w:t>(</w:t>
      </w:r>
      <w:r w:rsidR="001902CF">
        <w:rPr>
          <w:rFonts w:asciiTheme="majorHAnsi" w:hAnsiTheme="majorHAnsi" w:cstheme="majorHAnsi"/>
          <w:sz w:val="24"/>
          <w:szCs w:val="24"/>
        </w:rPr>
        <w:t xml:space="preserve"> </w:t>
      </w:r>
      <w:r w:rsidR="001902CF">
        <w:rPr>
          <w:rFonts w:asciiTheme="majorHAnsi" w:hAnsiTheme="majorHAnsi" w:cstheme="majorHAnsi"/>
          <w:b/>
          <w:bCs/>
          <w:sz w:val="24"/>
          <w:szCs w:val="24"/>
          <w:u w:val="single"/>
        </w:rPr>
        <w:t>X</w:t>
      </w:r>
      <w:proofErr w:type="gramEnd"/>
      <w:r w:rsidR="001902CF">
        <w:rPr>
          <w:rFonts w:asciiTheme="majorHAnsi" w:hAnsiTheme="majorHAnsi" w:cstheme="majorHAnsi"/>
          <w:sz w:val="24"/>
          <w:szCs w:val="24"/>
        </w:rPr>
        <w:t xml:space="preserve"> </w:t>
      </w:r>
      <w:r>
        <w:rPr>
          <w:rFonts w:asciiTheme="majorHAnsi" w:hAnsiTheme="majorHAnsi" w:cstheme="majorHAnsi"/>
          <w:sz w:val="24"/>
          <w:szCs w:val="24"/>
        </w:rPr>
        <w:t xml:space="preserve">) </w:t>
      </w:r>
      <w:r w:rsidR="7A9FCD4C" w:rsidRPr="00B105EE">
        <w:rPr>
          <w:rFonts w:asciiTheme="majorHAnsi" w:hAnsiTheme="majorHAnsi" w:cstheme="majorHAnsi"/>
          <w:sz w:val="24"/>
          <w:szCs w:val="24"/>
        </w:rPr>
        <w:t xml:space="preserve">serão exigidas </w:t>
      </w:r>
      <w:r w:rsidR="00225713" w:rsidRPr="00B105EE">
        <w:rPr>
          <w:rFonts w:asciiTheme="majorHAnsi" w:hAnsiTheme="majorHAnsi" w:cstheme="majorHAnsi"/>
          <w:sz w:val="24"/>
          <w:szCs w:val="24"/>
        </w:rPr>
        <w:t xml:space="preserve"> comprovações de capacidade técnico-operacional</w:t>
      </w:r>
      <w:r w:rsidR="00225713">
        <w:rPr>
          <w:rFonts w:asciiTheme="majorHAnsi" w:hAnsiTheme="majorHAnsi" w:cstheme="majorHAnsi"/>
          <w:sz w:val="24"/>
          <w:szCs w:val="24"/>
        </w:rPr>
        <w:t xml:space="preserve"> </w:t>
      </w:r>
      <w:r w:rsidR="7A9FCD4C" w:rsidRPr="00B105EE">
        <w:rPr>
          <w:rFonts w:asciiTheme="majorHAnsi" w:hAnsiTheme="majorHAnsi" w:cstheme="majorHAnsi"/>
          <w:sz w:val="24"/>
          <w:szCs w:val="24"/>
        </w:rPr>
        <w:t>quanto às parcelas de maior relevância técnica e valor significativo do objeto, a seguir elencadas:</w:t>
      </w:r>
    </w:p>
    <w:p w14:paraId="423DA6BE" w14:textId="3E5E905B" w:rsidR="7A9FCD4C" w:rsidRPr="001902CF" w:rsidRDefault="00A7641A" w:rsidP="00C000A1">
      <w:pPr>
        <w:pStyle w:val="Normal-TJTR"/>
        <w:spacing w:after="360"/>
        <w:rPr>
          <w:rFonts w:asciiTheme="majorHAnsi" w:hAnsiTheme="majorHAnsi" w:cstheme="majorHAnsi"/>
          <w:b/>
          <w:bCs/>
          <w:sz w:val="24"/>
          <w:szCs w:val="24"/>
          <w:u w:val="single"/>
        </w:rPr>
      </w:pPr>
      <w:bookmarkStart w:id="36" w:name="_Hlk174968801"/>
      <w:r w:rsidRPr="00A7641A">
        <w:rPr>
          <w:rFonts w:asciiTheme="majorHAnsi" w:hAnsiTheme="majorHAnsi" w:cstheme="majorHAnsi"/>
          <w:b/>
          <w:bCs/>
          <w:sz w:val="24"/>
          <w:szCs w:val="24"/>
          <w:u w:val="single"/>
        </w:rPr>
        <w:t>FORNECIMENTO E IMPLANTAÇÃO DE VIGA EM CONCRETO PRÉ-MOLDADO</w:t>
      </w:r>
      <w:bookmarkEnd w:id="36"/>
      <w:r>
        <w:rPr>
          <w:rFonts w:asciiTheme="majorHAnsi" w:hAnsiTheme="majorHAnsi" w:cstheme="majorHAnsi"/>
          <w:b/>
          <w:bCs/>
          <w:sz w:val="24"/>
          <w:szCs w:val="24"/>
          <w:u w:val="single"/>
        </w:rPr>
        <w:t xml:space="preserve">; </w:t>
      </w:r>
      <w:r w:rsidRPr="00A7641A">
        <w:rPr>
          <w:rFonts w:asciiTheme="majorHAnsi" w:hAnsiTheme="majorHAnsi" w:cstheme="majorHAnsi"/>
          <w:b/>
          <w:bCs/>
          <w:sz w:val="24"/>
          <w:szCs w:val="24"/>
          <w:u w:val="single"/>
        </w:rPr>
        <w:t>FORNECIMENTO E IMPLANTAÇÃO DE PILAR EM CONCRETO PRÉ-MOLDADO</w:t>
      </w:r>
      <w:r>
        <w:rPr>
          <w:rFonts w:asciiTheme="majorHAnsi" w:hAnsiTheme="majorHAnsi" w:cstheme="majorHAnsi"/>
          <w:b/>
          <w:bCs/>
          <w:sz w:val="24"/>
          <w:szCs w:val="24"/>
          <w:u w:val="single"/>
        </w:rPr>
        <w:t xml:space="preserve">; </w:t>
      </w:r>
      <w:r w:rsidRPr="00A7641A">
        <w:rPr>
          <w:rFonts w:asciiTheme="majorHAnsi" w:hAnsiTheme="majorHAnsi" w:cstheme="majorHAnsi"/>
          <w:b/>
          <w:bCs/>
          <w:sz w:val="24"/>
          <w:szCs w:val="24"/>
          <w:u w:val="single"/>
        </w:rPr>
        <w:t>TELHAMENTO C/ TELHA DE AÇO/ALUMÍNIO</w:t>
      </w:r>
      <w:r>
        <w:rPr>
          <w:rFonts w:asciiTheme="majorHAnsi" w:hAnsiTheme="majorHAnsi" w:cstheme="majorHAnsi"/>
          <w:b/>
          <w:bCs/>
          <w:sz w:val="24"/>
          <w:szCs w:val="24"/>
          <w:u w:val="single"/>
        </w:rPr>
        <w:t xml:space="preserve">; </w:t>
      </w:r>
      <w:r w:rsidRPr="00A7641A">
        <w:rPr>
          <w:rFonts w:asciiTheme="majorHAnsi" w:hAnsiTheme="majorHAnsi" w:cstheme="majorHAnsi"/>
          <w:b/>
          <w:bCs/>
          <w:sz w:val="24"/>
          <w:szCs w:val="24"/>
          <w:u w:val="single"/>
        </w:rPr>
        <w:t>FABRICAÇÃO E INSTALAÇÃO DE TESOURA/TRELIÇA, INTEIRA OU MEIA, EM AÇO</w:t>
      </w:r>
      <w:r>
        <w:rPr>
          <w:rFonts w:asciiTheme="majorHAnsi" w:hAnsiTheme="majorHAnsi" w:cstheme="majorHAnsi"/>
          <w:b/>
          <w:bCs/>
          <w:sz w:val="24"/>
          <w:szCs w:val="24"/>
          <w:u w:val="single"/>
        </w:rPr>
        <w:t xml:space="preserve">; E </w:t>
      </w:r>
      <w:r w:rsidRPr="00A7641A">
        <w:rPr>
          <w:rFonts w:asciiTheme="majorHAnsi" w:hAnsiTheme="majorHAnsi" w:cstheme="majorHAnsi"/>
          <w:b/>
          <w:bCs/>
          <w:sz w:val="24"/>
          <w:szCs w:val="24"/>
          <w:u w:val="single"/>
        </w:rPr>
        <w:t>TRAMA DE AÇO COMPOSTA POR TERÇAS</w:t>
      </w:r>
      <w:r>
        <w:rPr>
          <w:rFonts w:asciiTheme="majorHAnsi" w:hAnsiTheme="majorHAnsi" w:cstheme="majorHAnsi"/>
          <w:b/>
          <w:bCs/>
          <w:sz w:val="24"/>
          <w:szCs w:val="24"/>
          <w:u w:val="single"/>
        </w:rPr>
        <w:t>.</w:t>
      </w:r>
    </w:p>
    <w:p w14:paraId="76030882" w14:textId="170B1422" w:rsidR="7A9FCD4C" w:rsidRPr="00B105EE" w:rsidRDefault="7A9FCD4C" w:rsidP="00B105EE">
      <w:pPr>
        <w:pStyle w:val="Normal-TJTR"/>
        <w:spacing w:after="360"/>
        <w:rPr>
          <w:rFonts w:asciiTheme="majorHAnsi" w:hAnsiTheme="majorHAnsi" w:cstheme="majorHAnsi"/>
          <w:sz w:val="24"/>
          <w:szCs w:val="24"/>
        </w:rPr>
      </w:pPr>
      <w:proofErr w:type="gramStart"/>
      <w:r w:rsidRPr="00B105EE">
        <w:rPr>
          <w:rFonts w:asciiTheme="majorHAnsi" w:hAnsiTheme="majorHAnsi" w:cstheme="majorHAnsi"/>
          <w:sz w:val="24"/>
          <w:szCs w:val="24"/>
        </w:rPr>
        <w:t>(</w:t>
      </w:r>
      <w:r w:rsidR="001902CF">
        <w:rPr>
          <w:rFonts w:asciiTheme="majorHAnsi" w:hAnsiTheme="majorHAnsi" w:cstheme="majorHAnsi"/>
          <w:sz w:val="24"/>
          <w:szCs w:val="24"/>
        </w:rPr>
        <w:t xml:space="preserve"> </w:t>
      </w:r>
      <w:r w:rsidR="001902CF">
        <w:rPr>
          <w:rFonts w:asciiTheme="majorHAnsi" w:hAnsiTheme="majorHAnsi" w:cstheme="majorHAnsi"/>
          <w:b/>
          <w:bCs/>
          <w:sz w:val="24"/>
          <w:szCs w:val="24"/>
          <w:u w:val="single"/>
        </w:rPr>
        <w:t>X</w:t>
      </w:r>
      <w:proofErr w:type="gramEnd"/>
      <w:r w:rsidR="001902CF">
        <w:rPr>
          <w:rFonts w:asciiTheme="majorHAnsi" w:hAnsiTheme="majorHAnsi" w:cstheme="majorHAnsi"/>
          <w:sz w:val="24"/>
          <w:szCs w:val="24"/>
        </w:rPr>
        <w:t xml:space="preserve"> </w:t>
      </w:r>
      <w:r w:rsidRPr="00B105EE">
        <w:rPr>
          <w:rFonts w:asciiTheme="majorHAnsi" w:hAnsiTheme="majorHAnsi" w:cstheme="majorHAnsi"/>
          <w:sz w:val="24"/>
          <w:szCs w:val="24"/>
        </w:rPr>
        <w:t>) SERÁ exigida a comprovação de quantitativos mínimos nos atestados, correspondentes aos seguintes serviços das parcelas de maior relevância técnica e valor significativo do objeto:</w:t>
      </w:r>
    </w:p>
    <w:p w14:paraId="21083ACA" w14:textId="17F7F4E2" w:rsidR="7A9FCD4C" w:rsidRPr="00B105EE" w:rsidRDefault="7A9FCD4C"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lastRenderedPageBreak/>
        <w:t xml:space="preserve">Para os serviços de </w:t>
      </w:r>
      <w:r w:rsidR="00501A6F" w:rsidRPr="00501A6F">
        <w:rPr>
          <w:rFonts w:asciiTheme="majorHAnsi" w:hAnsiTheme="majorHAnsi" w:cstheme="majorHAnsi"/>
          <w:b/>
          <w:bCs/>
          <w:sz w:val="24"/>
          <w:szCs w:val="24"/>
          <w:u w:val="single"/>
        </w:rPr>
        <w:t>FORNECIMENTO E IMPLANTAÇÃO DE VIGA EM CONCRETO PRÉ-MOLDADO</w:t>
      </w:r>
      <w:r w:rsidRPr="00B105EE">
        <w:rPr>
          <w:rFonts w:asciiTheme="majorHAnsi" w:hAnsiTheme="majorHAnsi" w:cstheme="majorHAnsi"/>
          <w:sz w:val="24"/>
          <w:szCs w:val="24"/>
        </w:rPr>
        <w:t xml:space="preserve">: quantitativos mínimos equivalentes ao percentual de </w:t>
      </w:r>
      <w:r w:rsidR="001902CF">
        <w:rPr>
          <w:rFonts w:asciiTheme="majorHAnsi" w:hAnsiTheme="majorHAnsi" w:cstheme="majorHAnsi"/>
          <w:b/>
          <w:bCs/>
          <w:sz w:val="24"/>
          <w:szCs w:val="24"/>
          <w:u w:val="single"/>
        </w:rPr>
        <w:t>40%</w:t>
      </w:r>
      <w:r w:rsidRPr="00B105EE">
        <w:rPr>
          <w:rFonts w:asciiTheme="majorHAnsi" w:hAnsiTheme="majorHAnsi" w:cstheme="majorHAnsi"/>
          <w:sz w:val="24"/>
          <w:szCs w:val="24"/>
        </w:rPr>
        <w:t xml:space="preserve"> dos quantitativos licitados</w:t>
      </w:r>
      <w:r w:rsidR="00D57DF4">
        <w:rPr>
          <w:rFonts w:asciiTheme="majorHAnsi" w:hAnsiTheme="majorHAnsi" w:cstheme="majorHAnsi"/>
          <w:sz w:val="24"/>
          <w:szCs w:val="24"/>
        </w:rPr>
        <w:t xml:space="preserve"> </w:t>
      </w:r>
      <w:r w:rsidR="00D57DF4">
        <w:rPr>
          <w:rFonts w:asciiTheme="majorHAnsi" w:hAnsiTheme="majorHAnsi" w:cstheme="majorHAnsi"/>
          <w:b/>
          <w:bCs/>
          <w:sz w:val="24"/>
          <w:szCs w:val="24"/>
          <w:u w:val="single"/>
        </w:rPr>
        <w:t>(</w:t>
      </w:r>
      <w:r w:rsidR="00501A6F">
        <w:rPr>
          <w:rFonts w:asciiTheme="majorHAnsi" w:hAnsiTheme="majorHAnsi" w:cstheme="majorHAnsi"/>
          <w:b/>
          <w:bCs/>
          <w:sz w:val="24"/>
          <w:szCs w:val="24"/>
          <w:u w:val="single"/>
        </w:rPr>
        <w:t>87,00 M</w:t>
      </w:r>
      <w:r w:rsidR="00D57DF4">
        <w:rPr>
          <w:rFonts w:asciiTheme="majorHAnsi" w:hAnsiTheme="majorHAnsi" w:cstheme="majorHAnsi"/>
          <w:b/>
          <w:bCs/>
          <w:sz w:val="24"/>
          <w:szCs w:val="24"/>
          <w:u w:val="single"/>
        </w:rPr>
        <w:t>)</w:t>
      </w:r>
      <w:r w:rsidRPr="00B105EE">
        <w:rPr>
          <w:rFonts w:asciiTheme="majorHAnsi" w:hAnsiTheme="majorHAnsi" w:cstheme="majorHAnsi"/>
          <w:sz w:val="24"/>
          <w:szCs w:val="24"/>
        </w:rPr>
        <w:t>;</w:t>
      </w:r>
    </w:p>
    <w:p w14:paraId="24A608F2" w14:textId="0DFC8DF9" w:rsidR="7A9FCD4C" w:rsidRPr="00B105EE" w:rsidRDefault="7A9FCD4C"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 xml:space="preserve">Para os serviços de </w:t>
      </w:r>
      <w:r w:rsidR="00501A6F" w:rsidRPr="00A7641A">
        <w:rPr>
          <w:rFonts w:asciiTheme="majorHAnsi" w:hAnsiTheme="majorHAnsi" w:cstheme="majorHAnsi"/>
          <w:b/>
          <w:bCs/>
          <w:sz w:val="24"/>
          <w:szCs w:val="24"/>
          <w:u w:val="single"/>
        </w:rPr>
        <w:t>FORNECIMENTO E IMPLANTAÇÃO DE PILAR EM CONCRETO PRÉ-MOLDADO</w:t>
      </w:r>
      <w:r w:rsidRPr="00B105EE">
        <w:rPr>
          <w:rFonts w:asciiTheme="majorHAnsi" w:hAnsiTheme="majorHAnsi" w:cstheme="majorHAnsi"/>
          <w:sz w:val="24"/>
          <w:szCs w:val="24"/>
        </w:rPr>
        <w:t>:</w:t>
      </w:r>
      <w:r w:rsidR="00501A6F">
        <w:rPr>
          <w:rFonts w:asciiTheme="majorHAnsi" w:hAnsiTheme="majorHAnsi" w:cstheme="majorHAnsi"/>
          <w:sz w:val="24"/>
          <w:szCs w:val="24"/>
        </w:rPr>
        <w:t xml:space="preserve"> </w:t>
      </w:r>
      <w:r w:rsidRPr="00B105EE">
        <w:rPr>
          <w:rFonts w:asciiTheme="majorHAnsi" w:hAnsiTheme="majorHAnsi" w:cstheme="majorHAnsi"/>
          <w:sz w:val="24"/>
          <w:szCs w:val="24"/>
        </w:rPr>
        <w:t xml:space="preserve">quantitativos mínimos equivalentes ao percentual de </w:t>
      </w:r>
      <w:r w:rsidR="001902CF">
        <w:rPr>
          <w:rFonts w:asciiTheme="majorHAnsi" w:hAnsiTheme="majorHAnsi" w:cstheme="majorHAnsi"/>
          <w:b/>
          <w:bCs/>
          <w:sz w:val="24"/>
          <w:szCs w:val="24"/>
          <w:u w:val="single"/>
        </w:rPr>
        <w:t>40%</w:t>
      </w:r>
      <w:r w:rsidRPr="00B105EE">
        <w:rPr>
          <w:rFonts w:asciiTheme="majorHAnsi" w:hAnsiTheme="majorHAnsi" w:cstheme="majorHAnsi"/>
          <w:sz w:val="24"/>
          <w:szCs w:val="24"/>
        </w:rPr>
        <w:t xml:space="preserve"> dos quantitativos licitados</w:t>
      </w:r>
      <w:r w:rsidR="00D57DF4">
        <w:rPr>
          <w:rFonts w:asciiTheme="majorHAnsi" w:hAnsiTheme="majorHAnsi" w:cstheme="majorHAnsi"/>
          <w:sz w:val="24"/>
          <w:szCs w:val="24"/>
        </w:rPr>
        <w:t xml:space="preserve"> </w:t>
      </w:r>
      <w:r w:rsidR="00D57DF4">
        <w:rPr>
          <w:rFonts w:asciiTheme="majorHAnsi" w:hAnsiTheme="majorHAnsi" w:cstheme="majorHAnsi"/>
          <w:b/>
          <w:bCs/>
          <w:sz w:val="24"/>
          <w:szCs w:val="24"/>
          <w:u w:val="single"/>
        </w:rPr>
        <w:t>(</w:t>
      </w:r>
      <w:r w:rsidR="00501A6F">
        <w:rPr>
          <w:rFonts w:asciiTheme="majorHAnsi" w:hAnsiTheme="majorHAnsi" w:cstheme="majorHAnsi"/>
          <w:b/>
          <w:bCs/>
          <w:sz w:val="24"/>
          <w:szCs w:val="24"/>
          <w:u w:val="single"/>
        </w:rPr>
        <w:t>18,00 UD</w:t>
      </w:r>
      <w:r w:rsidR="00D57DF4">
        <w:rPr>
          <w:rFonts w:asciiTheme="majorHAnsi" w:hAnsiTheme="majorHAnsi" w:cstheme="majorHAnsi"/>
          <w:b/>
          <w:bCs/>
          <w:sz w:val="24"/>
          <w:szCs w:val="24"/>
          <w:u w:val="single"/>
        </w:rPr>
        <w:t>)</w:t>
      </w:r>
      <w:r w:rsidRPr="00B105EE">
        <w:rPr>
          <w:rFonts w:asciiTheme="majorHAnsi" w:hAnsiTheme="majorHAnsi" w:cstheme="majorHAnsi"/>
          <w:sz w:val="24"/>
          <w:szCs w:val="24"/>
        </w:rPr>
        <w:t>;</w:t>
      </w:r>
    </w:p>
    <w:p w14:paraId="79E73CF5" w14:textId="24E87197" w:rsidR="00403158" w:rsidRDefault="7A9FCD4C" w:rsidP="001B7DF9">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 xml:space="preserve">Para os serviços de </w:t>
      </w:r>
      <w:r w:rsidR="00501A6F" w:rsidRPr="00A7641A">
        <w:rPr>
          <w:rFonts w:asciiTheme="majorHAnsi" w:hAnsiTheme="majorHAnsi" w:cstheme="majorHAnsi"/>
          <w:b/>
          <w:bCs/>
          <w:sz w:val="24"/>
          <w:szCs w:val="24"/>
          <w:u w:val="single"/>
        </w:rPr>
        <w:t>TELHAMENTO C/ TELHA DE AÇO/ALUMÍNIO</w:t>
      </w:r>
      <w:r w:rsidRPr="00B105EE">
        <w:rPr>
          <w:rFonts w:asciiTheme="majorHAnsi" w:hAnsiTheme="majorHAnsi" w:cstheme="majorHAnsi"/>
          <w:sz w:val="24"/>
          <w:szCs w:val="24"/>
        </w:rPr>
        <w:t xml:space="preserve">: quantitativos mínimos equivalentes ao percentual de </w:t>
      </w:r>
      <w:r w:rsidR="00AD1B5B">
        <w:rPr>
          <w:rFonts w:asciiTheme="majorHAnsi" w:hAnsiTheme="majorHAnsi" w:cstheme="majorHAnsi"/>
          <w:b/>
          <w:bCs/>
          <w:sz w:val="24"/>
          <w:szCs w:val="24"/>
          <w:u w:val="single"/>
        </w:rPr>
        <w:t>40%</w:t>
      </w:r>
      <w:r w:rsidR="00AD1B5B" w:rsidRPr="00B105EE">
        <w:rPr>
          <w:rFonts w:asciiTheme="majorHAnsi" w:hAnsiTheme="majorHAnsi" w:cstheme="majorHAnsi"/>
          <w:sz w:val="24"/>
          <w:szCs w:val="24"/>
        </w:rPr>
        <w:t xml:space="preserve"> </w:t>
      </w:r>
      <w:r w:rsidRPr="00B105EE">
        <w:rPr>
          <w:rFonts w:asciiTheme="majorHAnsi" w:hAnsiTheme="majorHAnsi" w:cstheme="majorHAnsi"/>
          <w:sz w:val="24"/>
          <w:szCs w:val="24"/>
        </w:rPr>
        <w:t>dos quantitativos licitados</w:t>
      </w:r>
      <w:r w:rsidR="00D57DF4">
        <w:rPr>
          <w:rFonts w:asciiTheme="majorHAnsi" w:hAnsiTheme="majorHAnsi" w:cstheme="majorHAnsi"/>
          <w:sz w:val="24"/>
          <w:szCs w:val="24"/>
        </w:rPr>
        <w:t xml:space="preserve"> </w:t>
      </w:r>
      <w:r w:rsidR="00D57DF4">
        <w:rPr>
          <w:rFonts w:asciiTheme="majorHAnsi" w:hAnsiTheme="majorHAnsi" w:cstheme="majorHAnsi"/>
          <w:b/>
          <w:bCs/>
          <w:sz w:val="24"/>
          <w:szCs w:val="24"/>
          <w:u w:val="single"/>
        </w:rPr>
        <w:t>(</w:t>
      </w:r>
      <w:r w:rsidR="00501A6F">
        <w:rPr>
          <w:rFonts w:asciiTheme="majorHAnsi" w:hAnsiTheme="majorHAnsi" w:cstheme="majorHAnsi"/>
          <w:b/>
          <w:bCs/>
          <w:sz w:val="24"/>
          <w:szCs w:val="24"/>
          <w:u w:val="single"/>
        </w:rPr>
        <w:t>400,00</w:t>
      </w:r>
      <w:r w:rsidR="00D57DF4">
        <w:rPr>
          <w:rFonts w:asciiTheme="majorHAnsi" w:hAnsiTheme="majorHAnsi" w:cstheme="majorHAnsi"/>
          <w:b/>
          <w:bCs/>
          <w:sz w:val="24"/>
          <w:szCs w:val="24"/>
          <w:u w:val="single"/>
        </w:rPr>
        <w:t xml:space="preserve"> M</w:t>
      </w:r>
      <w:r w:rsidR="00403158">
        <w:rPr>
          <w:rFonts w:asciiTheme="majorHAnsi" w:hAnsiTheme="majorHAnsi" w:cstheme="majorHAnsi"/>
          <w:b/>
          <w:bCs/>
          <w:sz w:val="24"/>
          <w:szCs w:val="24"/>
          <w:u w:val="single"/>
        </w:rPr>
        <w:t>²</w:t>
      </w:r>
      <w:r w:rsidR="00D57DF4">
        <w:rPr>
          <w:rFonts w:asciiTheme="majorHAnsi" w:hAnsiTheme="majorHAnsi" w:cstheme="majorHAnsi"/>
          <w:b/>
          <w:bCs/>
          <w:sz w:val="24"/>
          <w:szCs w:val="24"/>
          <w:u w:val="single"/>
        </w:rPr>
        <w:t>)</w:t>
      </w:r>
      <w:r w:rsidR="00501A6F">
        <w:rPr>
          <w:rFonts w:asciiTheme="majorHAnsi" w:hAnsiTheme="majorHAnsi" w:cstheme="majorHAnsi"/>
          <w:sz w:val="24"/>
          <w:szCs w:val="24"/>
        </w:rPr>
        <w:t>;</w:t>
      </w:r>
    </w:p>
    <w:p w14:paraId="1D1DAB7B" w14:textId="389638BD" w:rsidR="00501A6F" w:rsidRDefault="00501A6F" w:rsidP="00501A6F">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 xml:space="preserve">Para os serviços de </w:t>
      </w:r>
      <w:r w:rsidRPr="00A7641A">
        <w:rPr>
          <w:rFonts w:asciiTheme="majorHAnsi" w:hAnsiTheme="majorHAnsi" w:cstheme="majorHAnsi"/>
          <w:b/>
          <w:bCs/>
          <w:sz w:val="24"/>
          <w:szCs w:val="24"/>
          <w:u w:val="single"/>
        </w:rPr>
        <w:t>FABRICAÇÃO E INSTALAÇÃO DE TESOURA/TRELIÇA, INTEIRA OU MEIA, EM AÇO</w:t>
      </w:r>
      <w:r w:rsidRPr="00B105EE">
        <w:rPr>
          <w:rFonts w:asciiTheme="majorHAnsi" w:hAnsiTheme="majorHAnsi" w:cstheme="majorHAnsi"/>
          <w:sz w:val="24"/>
          <w:szCs w:val="24"/>
        </w:rPr>
        <w:t xml:space="preserve">: quantitativos mínimos equivalentes ao percentual de </w:t>
      </w:r>
      <w:r>
        <w:rPr>
          <w:rFonts w:asciiTheme="majorHAnsi" w:hAnsiTheme="majorHAnsi" w:cstheme="majorHAnsi"/>
          <w:b/>
          <w:bCs/>
          <w:sz w:val="24"/>
          <w:szCs w:val="24"/>
          <w:u w:val="single"/>
        </w:rPr>
        <w:t>40%</w:t>
      </w:r>
      <w:r w:rsidRPr="00B105EE">
        <w:rPr>
          <w:rFonts w:asciiTheme="majorHAnsi" w:hAnsiTheme="majorHAnsi" w:cstheme="majorHAnsi"/>
          <w:sz w:val="24"/>
          <w:szCs w:val="24"/>
        </w:rPr>
        <w:t xml:space="preserve"> dos quantitativos licitados</w:t>
      </w:r>
      <w:r>
        <w:rPr>
          <w:rFonts w:asciiTheme="majorHAnsi" w:hAnsiTheme="majorHAnsi" w:cstheme="majorHAnsi"/>
          <w:sz w:val="24"/>
          <w:szCs w:val="24"/>
        </w:rPr>
        <w:t xml:space="preserve"> </w:t>
      </w:r>
      <w:r>
        <w:rPr>
          <w:rFonts w:asciiTheme="majorHAnsi" w:hAnsiTheme="majorHAnsi" w:cstheme="majorHAnsi"/>
          <w:b/>
          <w:bCs/>
          <w:sz w:val="24"/>
          <w:szCs w:val="24"/>
          <w:u w:val="single"/>
        </w:rPr>
        <w:t>(1.100,00 KG OU 400,00 M²)</w:t>
      </w:r>
      <w:r>
        <w:rPr>
          <w:rFonts w:asciiTheme="majorHAnsi" w:hAnsiTheme="majorHAnsi" w:cstheme="majorHAnsi"/>
          <w:sz w:val="24"/>
          <w:szCs w:val="24"/>
        </w:rPr>
        <w:t>;</w:t>
      </w:r>
    </w:p>
    <w:p w14:paraId="045A73EB" w14:textId="6B56EA16" w:rsidR="00501A6F" w:rsidRDefault="00501A6F" w:rsidP="001B7DF9">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 xml:space="preserve">Para os serviços de </w:t>
      </w:r>
      <w:r w:rsidR="000F58D0" w:rsidRPr="000F58D0">
        <w:rPr>
          <w:rFonts w:asciiTheme="majorHAnsi" w:hAnsiTheme="majorHAnsi" w:cstheme="majorHAnsi"/>
          <w:b/>
          <w:bCs/>
          <w:sz w:val="24"/>
          <w:szCs w:val="24"/>
          <w:u w:val="single"/>
        </w:rPr>
        <w:t>TRAMA DE AÇO COMPOSTA POR TERÇAS</w:t>
      </w:r>
      <w:r w:rsidRPr="00B105EE">
        <w:rPr>
          <w:rFonts w:asciiTheme="majorHAnsi" w:hAnsiTheme="majorHAnsi" w:cstheme="majorHAnsi"/>
          <w:sz w:val="24"/>
          <w:szCs w:val="24"/>
        </w:rPr>
        <w:t xml:space="preserve">: quantitativos mínimos equivalentes ao percentual de </w:t>
      </w:r>
      <w:r>
        <w:rPr>
          <w:rFonts w:asciiTheme="majorHAnsi" w:hAnsiTheme="majorHAnsi" w:cstheme="majorHAnsi"/>
          <w:b/>
          <w:bCs/>
          <w:sz w:val="24"/>
          <w:szCs w:val="24"/>
          <w:u w:val="single"/>
        </w:rPr>
        <w:t>40%</w:t>
      </w:r>
      <w:r w:rsidRPr="00B105EE">
        <w:rPr>
          <w:rFonts w:asciiTheme="majorHAnsi" w:hAnsiTheme="majorHAnsi" w:cstheme="majorHAnsi"/>
          <w:sz w:val="24"/>
          <w:szCs w:val="24"/>
        </w:rPr>
        <w:t xml:space="preserve"> dos quantitativos licitados</w:t>
      </w:r>
      <w:r>
        <w:rPr>
          <w:rFonts w:asciiTheme="majorHAnsi" w:hAnsiTheme="majorHAnsi" w:cstheme="majorHAnsi"/>
          <w:sz w:val="24"/>
          <w:szCs w:val="24"/>
        </w:rPr>
        <w:t xml:space="preserve"> </w:t>
      </w:r>
      <w:r>
        <w:rPr>
          <w:rFonts w:asciiTheme="majorHAnsi" w:hAnsiTheme="majorHAnsi" w:cstheme="majorHAnsi"/>
          <w:b/>
          <w:bCs/>
          <w:sz w:val="24"/>
          <w:szCs w:val="24"/>
          <w:u w:val="single"/>
        </w:rPr>
        <w:t>(1.100,00 KG OU 400,00 M²)</w:t>
      </w:r>
      <w:r>
        <w:rPr>
          <w:rFonts w:asciiTheme="majorHAnsi" w:hAnsiTheme="majorHAnsi" w:cstheme="majorHAnsi"/>
          <w:sz w:val="24"/>
          <w:szCs w:val="24"/>
        </w:rPr>
        <w:t>;</w:t>
      </w:r>
    </w:p>
    <w:p w14:paraId="5BB99617" w14:textId="77777777" w:rsidR="00501A6F" w:rsidRPr="00B105EE" w:rsidRDefault="00501A6F" w:rsidP="001B7DF9">
      <w:pPr>
        <w:pStyle w:val="Normal-TJTR"/>
        <w:spacing w:after="360"/>
        <w:rPr>
          <w:rFonts w:asciiTheme="majorHAnsi" w:hAnsiTheme="majorHAnsi" w:cstheme="majorHAnsi"/>
          <w:sz w:val="24"/>
          <w:szCs w:val="24"/>
        </w:rPr>
      </w:pPr>
    </w:p>
    <w:p w14:paraId="60438ADF" w14:textId="42F23E00" w:rsidR="7A9FCD4C" w:rsidRPr="00C000A1" w:rsidRDefault="7A9FCD4C" w:rsidP="00C000A1">
      <w:pPr>
        <w:pStyle w:val="Normal-TJTR"/>
        <w:spacing w:after="360"/>
        <w:rPr>
          <w:rFonts w:asciiTheme="majorHAnsi" w:hAnsiTheme="majorHAnsi" w:cstheme="majorHAnsi"/>
          <w:b/>
          <w:bCs/>
          <w:sz w:val="24"/>
          <w:szCs w:val="24"/>
        </w:rPr>
      </w:pPr>
      <w:r w:rsidRPr="00B105EE">
        <w:rPr>
          <w:rFonts w:asciiTheme="majorHAnsi" w:hAnsiTheme="majorHAnsi" w:cstheme="majorHAnsi"/>
          <w:b/>
          <w:bCs/>
          <w:sz w:val="24"/>
          <w:szCs w:val="24"/>
        </w:rPr>
        <w:t>Possibilidade de somatório de atestados</w:t>
      </w:r>
    </w:p>
    <w:p w14:paraId="2A70EBDA" w14:textId="67C8424F" w:rsidR="7A9FCD4C" w:rsidRPr="00C000A1" w:rsidRDefault="7A9FCD4C"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 xml:space="preserve">Na presente licitação, será </w:t>
      </w:r>
      <w:proofErr w:type="gramStart"/>
      <w:r w:rsidRPr="00B105EE">
        <w:rPr>
          <w:rFonts w:asciiTheme="majorHAnsi" w:hAnsiTheme="majorHAnsi" w:cstheme="majorHAnsi"/>
          <w:sz w:val="24"/>
          <w:szCs w:val="24"/>
        </w:rPr>
        <w:t>(</w:t>
      </w:r>
      <w:r w:rsidR="00AD1B5B">
        <w:rPr>
          <w:rFonts w:asciiTheme="majorHAnsi" w:hAnsiTheme="majorHAnsi" w:cstheme="majorHAnsi"/>
          <w:sz w:val="24"/>
          <w:szCs w:val="24"/>
        </w:rPr>
        <w:t xml:space="preserve"> </w:t>
      </w:r>
      <w:r w:rsidR="00AD1B5B">
        <w:rPr>
          <w:rFonts w:asciiTheme="majorHAnsi" w:hAnsiTheme="majorHAnsi" w:cstheme="majorHAnsi"/>
          <w:b/>
          <w:bCs/>
          <w:sz w:val="24"/>
          <w:szCs w:val="24"/>
          <w:u w:val="single"/>
        </w:rPr>
        <w:t>X</w:t>
      </w:r>
      <w:proofErr w:type="gramEnd"/>
      <w:r w:rsidR="00AD1B5B">
        <w:rPr>
          <w:rFonts w:asciiTheme="majorHAnsi" w:hAnsiTheme="majorHAnsi" w:cstheme="majorHAnsi"/>
          <w:sz w:val="24"/>
          <w:szCs w:val="24"/>
        </w:rPr>
        <w:t xml:space="preserve"> </w:t>
      </w:r>
      <w:r w:rsidRPr="00B105EE">
        <w:rPr>
          <w:rFonts w:asciiTheme="majorHAnsi" w:hAnsiTheme="majorHAnsi" w:cstheme="majorHAnsi"/>
          <w:sz w:val="24"/>
          <w:szCs w:val="24"/>
        </w:rPr>
        <w:t>) ACEITO ou (</w:t>
      </w:r>
      <w:r w:rsidR="00AD1B5B">
        <w:rPr>
          <w:rFonts w:asciiTheme="majorHAnsi" w:hAnsiTheme="majorHAnsi" w:cstheme="majorHAnsi"/>
          <w:sz w:val="24"/>
          <w:szCs w:val="24"/>
        </w:rPr>
        <w:t xml:space="preserve">   </w:t>
      </w:r>
      <w:r w:rsidRPr="00B105EE">
        <w:rPr>
          <w:rFonts w:asciiTheme="majorHAnsi" w:hAnsiTheme="majorHAnsi" w:cstheme="majorHAnsi"/>
          <w:sz w:val="24"/>
          <w:szCs w:val="24"/>
        </w:rPr>
        <w:t xml:space="preserve">) VEDADO o somatório de atestados de capacidade técnico-operacional para atingimento dos quantitativos mínimos demandados, com base na seguinte </w:t>
      </w:r>
      <w:r w:rsidRPr="002769F9">
        <w:rPr>
          <w:rFonts w:asciiTheme="majorHAnsi" w:hAnsiTheme="majorHAnsi" w:cstheme="majorHAnsi"/>
          <w:b/>
          <w:bCs/>
          <w:sz w:val="24"/>
          <w:szCs w:val="24"/>
        </w:rPr>
        <w:t>justificativa</w:t>
      </w:r>
      <w:r w:rsidRPr="00B105EE">
        <w:rPr>
          <w:rFonts w:asciiTheme="majorHAnsi" w:hAnsiTheme="majorHAnsi" w:cstheme="majorHAnsi"/>
          <w:sz w:val="24"/>
          <w:szCs w:val="24"/>
        </w:rPr>
        <w:t xml:space="preserve"> técnica:</w:t>
      </w:r>
    </w:p>
    <w:p w14:paraId="12A1B354" w14:textId="07A743A1" w:rsidR="0554D60B" w:rsidRPr="00AD1B5B" w:rsidRDefault="00AD1B5B" w:rsidP="00C000A1">
      <w:pPr>
        <w:pStyle w:val="Normal-TJTR"/>
        <w:spacing w:after="360"/>
        <w:rPr>
          <w:rFonts w:asciiTheme="majorHAnsi" w:hAnsiTheme="majorHAnsi" w:cstheme="majorHAnsi"/>
          <w:b/>
          <w:bCs/>
          <w:sz w:val="24"/>
          <w:szCs w:val="24"/>
          <w:u w:val="single"/>
        </w:rPr>
      </w:pPr>
      <w:r>
        <w:rPr>
          <w:rFonts w:asciiTheme="majorHAnsi" w:hAnsiTheme="majorHAnsi" w:cstheme="majorHAnsi"/>
          <w:b/>
          <w:bCs/>
          <w:sz w:val="24"/>
          <w:szCs w:val="24"/>
          <w:u w:val="single"/>
        </w:rPr>
        <w:t>O AUMENTO DE QUANTIATIVOS NÃO INCREMENTA A COMPLEXIDADE DOS SERVIÇOS A SEREM EXECUTADOS.</w:t>
      </w:r>
    </w:p>
    <w:p w14:paraId="648A0223" w14:textId="078E5489" w:rsidR="7A9FCD4C" w:rsidRPr="00C000A1" w:rsidRDefault="7A9FCD4C" w:rsidP="00C000A1">
      <w:pPr>
        <w:pStyle w:val="Normal-TJTR"/>
        <w:spacing w:after="360"/>
        <w:rPr>
          <w:rFonts w:asciiTheme="majorHAnsi" w:hAnsiTheme="majorHAnsi" w:cstheme="majorHAnsi"/>
          <w:b/>
          <w:bCs/>
          <w:sz w:val="24"/>
          <w:szCs w:val="24"/>
        </w:rPr>
      </w:pPr>
      <w:r w:rsidRPr="00B105EE">
        <w:rPr>
          <w:rFonts w:asciiTheme="majorHAnsi" w:hAnsiTheme="majorHAnsi" w:cstheme="majorHAnsi"/>
          <w:b/>
          <w:bCs/>
          <w:sz w:val="24"/>
          <w:szCs w:val="24"/>
        </w:rPr>
        <w:t>Capacidade técnico-profissional</w:t>
      </w:r>
    </w:p>
    <w:p w14:paraId="6D367CEC" w14:textId="148BE056" w:rsidR="00606544" w:rsidRDefault="5F26371E" w:rsidP="00C000A1">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Na presente licitação</w:t>
      </w:r>
      <w:r w:rsidR="00606544">
        <w:rPr>
          <w:rFonts w:asciiTheme="majorHAnsi" w:hAnsiTheme="majorHAnsi" w:cstheme="majorHAnsi"/>
          <w:sz w:val="24"/>
          <w:szCs w:val="24"/>
        </w:rPr>
        <w:t>:</w:t>
      </w:r>
    </w:p>
    <w:p w14:paraId="5529FDD6" w14:textId="052482D2" w:rsidR="002769F9" w:rsidRDefault="002769F9" w:rsidP="00C000A1">
      <w:pPr>
        <w:pStyle w:val="Normal-TJTR"/>
        <w:spacing w:after="360"/>
        <w:rPr>
          <w:rFonts w:asciiTheme="majorHAnsi" w:hAnsiTheme="majorHAnsi" w:cstheme="majorHAnsi"/>
          <w:sz w:val="24"/>
          <w:szCs w:val="24"/>
        </w:rPr>
      </w:pPr>
      <w:proofErr w:type="gramStart"/>
      <w:r>
        <w:rPr>
          <w:rFonts w:asciiTheme="majorHAnsi" w:hAnsiTheme="majorHAnsi" w:cstheme="majorHAnsi"/>
          <w:sz w:val="24"/>
          <w:szCs w:val="24"/>
        </w:rPr>
        <w:t>(</w:t>
      </w:r>
      <w:r w:rsidR="00AD1B5B">
        <w:rPr>
          <w:rFonts w:asciiTheme="majorHAnsi" w:hAnsiTheme="majorHAnsi" w:cstheme="majorHAnsi"/>
          <w:sz w:val="24"/>
          <w:szCs w:val="24"/>
        </w:rPr>
        <w:t xml:space="preserve">  </w:t>
      </w:r>
      <w:proofErr w:type="gramEnd"/>
      <w:r w:rsidR="00AD1B5B">
        <w:rPr>
          <w:rFonts w:asciiTheme="majorHAnsi" w:hAnsiTheme="majorHAnsi" w:cstheme="majorHAnsi"/>
          <w:sz w:val="24"/>
          <w:szCs w:val="24"/>
        </w:rPr>
        <w:t xml:space="preserve"> </w:t>
      </w:r>
      <w:r>
        <w:rPr>
          <w:rFonts w:asciiTheme="majorHAnsi" w:hAnsiTheme="majorHAnsi" w:cstheme="majorHAnsi"/>
          <w:sz w:val="24"/>
          <w:szCs w:val="24"/>
        </w:rPr>
        <w:t>) NÃO SERÃO exigidas</w:t>
      </w:r>
      <w:r w:rsidRPr="00B105EE">
        <w:rPr>
          <w:rFonts w:asciiTheme="majorHAnsi" w:hAnsiTheme="majorHAnsi" w:cstheme="majorHAnsi"/>
          <w:sz w:val="24"/>
          <w:szCs w:val="24"/>
        </w:rPr>
        <w:t xml:space="preserve"> comprovações de capacidade técnico-profissional</w:t>
      </w:r>
      <w:r>
        <w:rPr>
          <w:rFonts w:asciiTheme="majorHAnsi" w:hAnsiTheme="majorHAnsi" w:cstheme="majorHAnsi"/>
          <w:sz w:val="24"/>
          <w:szCs w:val="24"/>
        </w:rPr>
        <w:t>.</w:t>
      </w:r>
    </w:p>
    <w:p w14:paraId="0B184756" w14:textId="28FFF72E" w:rsidR="5F26371E" w:rsidRPr="00B105EE" w:rsidRDefault="00606544" w:rsidP="00606544">
      <w:pPr>
        <w:pStyle w:val="Normal-TJTR"/>
        <w:spacing w:after="360"/>
        <w:rPr>
          <w:rFonts w:asciiTheme="majorHAnsi" w:hAnsiTheme="majorHAnsi" w:cstheme="majorHAnsi"/>
          <w:sz w:val="24"/>
          <w:szCs w:val="24"/>
        </w:rPr>
      </w:pPr>
      <w:proofErr w:type="gramStart"/>
      <w:r>
        <w:rPr>
          <w:rFonts w:asciiTheme="majorHAnsi" w:hAnsiTheme="majorHAnsi" w:cstheme="majorHAnsi"/>
          <w:sz w:val="24"/>
          <w:szCs w:val="24"/>
        </w:rPr>
        <w:t>(</w:t>
      </w:r>
      <w:r w:rsidR="00AD1B5B">
        <w:rPr>
          <w:rFonts w:asciiTheme="majorHAnsi" w:hAnsiTheme="majorHAnsi" w:cstheme="majorHAnsi"/>
          <w:sz w:val="24"/>
          <w:szCs w:val="24"/>
        </w:rPr>
        <w:t xml:space="preserve"> </w:t>
      </w:r>
      <w:r w:rsidR="00AD1B5B">
        <w:rPr>
          <w:rFonts w:asciiTheme="majorHAnsi" w:hAnsiTheme="majorHAnsi" w:cstheme="majorHAnsi"/>
          <w:b/>
          <w:bCs/>
          <w:sz w:val="24"/>
          <w:szCs w:val="24"/>
          <w:u w:val="single"/>
        </w:rPr>
        <w:t>X</w:t>
      </w:r>
      <w:proofErr w:type="gramEnd"/>
      <w:r w:rsidR="00AD1B5B">
        <w:rPr>
          <w:rFonts w:asciiTheme="majorHAnsi" w:hAnsiTheme="majorHAnsi" w:cstheme="majorHAnsi"/>
          <w:sz w:val="24"/>
          <w:szCs w:val="24"/>
        </w:rPr>
        <w:t xml:space="preserve"> </w:t>
      </w:r>
      <w:r>
        <w:rPr>
          <w:rFonts w:asciiTheme="majorHAnsi" w:hAnsiTheme="majorHAnsi" w:cstheme="majorHAnsi"/>
          <w:sz w:val="24"/>
          <w:szCs w:val="24"/>
        </w:rPr>
        <w:t>) SERÃO exigidas</w:t>
      </w:r>
      <w:r w:rsidR="5F26371E" w:rsidRPr="00B105EE">
        <w:rPr>
          <w:rFonts w:asciiTheme="majorHAnsi" w:hAnsiTheme="majorHAnsi" w:cstheme="majorHAnsi"/>
          <w:sz w:val="24"/>
          <w:szCs w:val="24"/>
        </w:rPr>
        <w:t xml:space="preserve"> comprovações de capacidade técnico-profissional quanto às parcelas de maior relevância técnica e valor significativo do objeto, a serem executadas pelos profissionais abaixo elencados:</w:t>
      </w:r>
    </w:p>
    <w:p w14:paraId="5ABA0CEC" w14:textId="77777777" w:rsidR="000F58D0" w:rsidRPr="001902CF" w:rsidRDefault="5F26371E" w:rsidP="000F58D0">
      <w:pPr>
        <w:pStyle w:val="Normal-TJTR"/>
        <w:spacing w:after="360"/>
        <w:rPr>
          <w:rFonts w:asciiTheme="majorHAnsi" w:hAnsiTheme="majorHAnsi" w:cstheme="majorHAnsi"/>
          <w:b/>
          <w:bCs/>
          <w:sz w:val="24"/>
          <w:szCs w:val="24"/>
          <w:u w:val="single"/>
        </w:rPr>
      </w:pPr>
      <w:r w:rsidRPr="00B105EE">
        <w:rPr>
          <w:rFonts w:asciiTheme="majorHAnsi" w:hAnsiTheme="majorHAnsi" w:cstheme="majorHAnsi"/>
          <w:sz w:val="24"/>
          <w:szCs w:val="24"/>
        </w:rPr>
        <w:t xml:space="preserve">Para o cargo de </w:t>
      </w:r>
      <w:r w:rsidR="00AD1B5B">
        <w:rPr>
          <w:rFonts w:asciiTheme="majorHAnsi" w:hAnsiTheme="majorHAnsi" w:cstheme="majorHAnsi"/>
          <w:b/>
          <w:bCs/>
          <w:sz w:val="24"/>
          <w:szCs w:val="24"/>
          <w:u w:val="single"/>
        </w:rPr>
        <w:t>RESPONSÁVEL TÉCNICO</w:t>
      </w:r>
      <w:r w:rsidRPr="00B105EE">
        <w:rPr>
          <w:rFonts w:asciiTheme="majorHAnsi" w:hAnsiTheme="majorHAnsi" w:cstheme="majorHAnsi"/>
          <w:sz w:val="24"/>
          <w:szCs w:val="24"/>
        </w:rPr>
        <w:t xml:space="preserve">: serviços de </w:t>
      </w:r>
      <w:r w:rsidR="000F58D0" w:rsidRPr="00A7641A">
        <w:rPr>
          <w:rFonts w:asciiTheme="majorHAnsi" w:hAnsiTheme="majorHAnsi" w:cstheme="majorHAnsi"/>
          <w:b/>
          <w:bCs/>
          <w:sz w:val="24"/>
          <w:szCs w:val="24"/>
          <w:u w:val="single"/>
        </w:rPr>
        <w:t>FORNECIMENTO E IMPLANTAÇÃO DE VIGA EM CONCRETO PRÉ-MOLDADO</w:t>
      </w:r>
      <w:r w:rsidR="000F58D0">
        <w:rPr>
          <w:rFonts w:asciiTheme="majorHAnsi" w:hAnsiTheme="majorHAnsi" w:cstheme="majorHAnsi"/>
          <w:b/>
          <w:bCs/>
          <w:sz w:val="24"/>
          <w:szCs w:val="24"/>
          <w:u w:val="single"/>
        </w:rPr>
        <w:t xml:space="preserve">; </w:t>
      </w:r>
      <w:r w:rsidR="000F58D0" w:rsidRPr="00A7641A">
        <w:rPr>
          <w:rFonts w:asciiTheme="majorHAnsi" w:hAnsiTheme="majorHAnsi" w:cstheme="majorHAnsi"/>
          <w:b/>
          <w:bCs/>
          <w:sz w:val="24"/>
          <w:szCs w:val="24"/>
          <w:u w:val="single"/>
        </w:rPr>
        <w:t xml:space="preserve">FORNECIMENTO E IMPLANTAÇÃO DE PILAR EM CONCRETO </w:t>
      </w:r>
      <w:r w:rsidR="000F58D0" w:rsidRPr="00A7641A">
        <w:rPr>
          <w:rFonts w:asciiTheme="majorHAnsi" w:hAnsiTheme="majorHAnsi" w:cstheme="majorHAnsi"/>
          <w:b/>
          <w:bCs/>
          <w:sz w:val="24"/>
          <w:szCs w:val="24"/>
          <w:u w:val="single"/>
        </w:rPr>
        <w:lastRenderedPageBreak/>
        <w:t>PRÉ-MOLDADO</w:t>
      </w:r>
      <w:r w:rsidR="000F58D0">
        <w:rPr>
          <w:rFonts w:asciiTheme="majorHAnsi" w:hAnsiTheme="majorHAnsi" w:cstheme="majorHAnsi"/>
          <w:b/>
          <w:bCs/>
          <w:sz w:val="24"/>
          <w:szCs w:val="24"/>
          <w:u w:val="single"/>
        </w:rPr>
        <w:t xml:space="preserve">; </w:t>
      </w:r>
      <w:r w:rsidR="000F58D0" w:rsidRPr="00A7641A">
        <w:rPr>
          <w:rFonts w:asciiTheme="majorHAnsi" w:hAnsiTheme="majorHAnsi" w:cstheme="majorHAnsi"/>
          <w:b/>
          <w:bCs/>
          <w:sz w:val="24"/>
          <w:szCs w:val="24"/>
          <w:u w:val="single"/>
        </w:rPr>
        <w:t>TELHAMENTO C/ TELHA DE AÇO/ALUMÍNIO</w:t>
      </w:r>
      <w:r w:rsidR="000F58D0">
        <w:rPr>
          <w:rFonts w:asciiTheme="majorHAnsi" w:hAnsiTheme="majorHAnsi" w:cstheme="majorHAnsi"/>
          <w:b/>
          <w:bCs/>
          <w:sz w:val="24"/>
          <w:szCs w:val="24"/>
          <w:u w:val="single"/>
        </w:rPr>
        <w:t xml:space="preserve">; </w:t>
      </w:r>
      <w:r w:rsidR="000F58D0" w:rsidRPr="00A7641A">
        <w:rPr>
          <w:rFonts w:asciiTheme="majorHAnsi" w:hAnsiTheme="majorHAnsi" w:cstheme="majorHAnsi"/>
          <w:b/>
          <w:bCs/>
          <w:sz w:val="24"/>
          <w:szCs w:val="24"/>
          <w:u w:val="single"/>
        </w:rPr>
        <w:t>FABRICAÇÃO E INSTALAÇÃO DE TESOURA/TRELIÇA, INTEIRA OU MEIA, EM AÇO</w:t>
      </w:r>
      <w:r w:rsidR="000F58D0">
        <w:rPr>
          <w:rFonts w:asciiTheme="majorHAnsi" w:hAnsiTheme="majorHAnsi" w:cstheme="majorHAnsi"/>
          <w:b/>
          <w:bCs/>
          <w:sz w:val="24"/>
          <w:szCs w:val="24"/>
          <w:u w:val="single"/>
        </w:rPr>
        <w:t xml:space="preserve">; E </w:t>
      </w:r>
      <w:r w:rsidR="000F58D0" w:rsidRPr="00A7641A">
        <w:rPr>
          <w:rFonts w:asciiTheme="majorHAnsi" w:hAnsiTheme="majorHAnsi" w:cstheme="majorHAnsi"/>
          <w:b/>
          <w:bCs/>
          <w:sz w:val="24"/>
          <w:szCs w:val="24"/>
          <w:u w:val="single"/>
        </w:rPr>
        <w:t>TRAMA DE AÇO COMPOSTA POR TERÇAS</w:t>
      </w:r>
      <w:r w:rsidR="000F58D0">
        <w:rPr>
          <w:rFonts w:asciiTheme="majorHAnsi" w:hAnsiTheme="majorHAnsi" w:cstheme="majorHAnsi"/>
          <w:b/>
          <w:bCs/>
          <w:sz w:val="24"/>
          <w:szCs w:val="24"/>
          <w:u w:val="single"/>
        </w:rPr>
        <w:t>.</w:t>
      </w:r>
    </w:p>
    <w:p w14:paraId="0223A06E" w14:textId="0205608A" w:rsidR="5F26371E" w:rsidRPr="00B105EE" w:rsidRDefault="5F26371E" w:rsidP="00B105EE">
      <w:pPr>
        <w:pStyle w:val="Normal-TJTR"/>
        <w:spacing w:after="360"/>
        <w:rPr>
          <w:rFonts w:asciiTheme="majorHAnsi" w:hAnsiTheme="majorHAnsi" w:cstheme="majorHAnsi"/>
          <w:sz w:val="24"/>
          <w:szCs w:val="24"/>
        </w:rPr>
      </w:pPr>
      <w:proofErr w:type="gramStart"/>
      <w:r w:rsidRPr="00B105EE">
        <w:rPr>
          <w:rFonts w:asciiTheme="majorHAnsi" w:hAnsiTheme="majorHAnsi" w:cstheme="majorHAnsi"/>
          <w:sz w:val="24"/>
          <w:szCs w:val="24"/>
        </w:rPr>
        <w:t xml:space="preserve">(  </w:t>
      </w:r>
      <w:proofErr w:type="gramEnd"/>
      <w:r w:rsidRPr="00B105EE">
        <w:rPr>
          <w:rFonts w:asciiTheme="majorHAnsi" w:hAnsiTheme="majorHAnsi" w:cstheme="majorHAnsi"/>
          <w:sz w:val="24"/>
          <w:szCs w:val="24"/>
        </w:rPr>
        <w:t xml:space="preserve"> ) SERÁ, excepcionalmente, exigida a comprovação de quantitativos mínimos nos documentos de ART/RRT, com base na seguinte justificativa:</w:t>
      </w:r>
    </w:p>
    <w:p w14:paraId="6F88B6A5" w14:textId="24E01AD3" w:rsidR="5F26371E" w:rsidRPr="0098684D" w:rsidRDefault="0098684D" w:rsidP="00C000A1">
      <w:pPr>
        <w:pStyle w:val="Normal-TJTR"/>
        <w:spacing w:after="360"/>
        <w:rPr>
          <w:rFonts w:asciiTheme="majorHAnsi" w:hAnsiTheme="majorHAnsi" w:cstheme="majorHAnsi"/>
          <w:b/>
          <w:bCs/>
          <w:sz w:val="24"/>
          <w:szCs w:val="24"/>
          <w:u w:val="single"/>
        </w:rPr>
      </w:pPr>
      <w:r>
        <w:rPr>
          <w:rFonts w:asciiTheme="majorHAnsi" w:hAnsiTheme="majorHAnsi" w:cstheme="majorHAnsi"/>
          <w:b/>
          <w:bCs/>
          <w:sz w:val="24"/>
          <w:szCs w:val="24"/>
          <w:u w:val="single"/>
        </w:rPr>
        <w:t>NÃO SERÁ EXIGIDO COMPROVAÇÃO TÉCNICO-PROFISSIONAL COM QUANTITATIVOS MÍNIMOS.</w:t>
      </w:r>
    </w:p>
    <w:p w14:paraId="7C3DB15D" w14:textId="6F203810" w:rsidR="5F26371E" w:rsidRPr="00B105EE" w:rsidRDefault="5F26371E"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 xml:space="preserve">Os quantitativos mínimos a serem comprovados nos documentos de ART/RRT, por cada profissional, estão abaixo elencados: </w:t>
      </w:r>
    </w:p>
    <w:p w14:paraId="70E38979" w14:textId="14E273D4" w:rsidR="5F26371E" w:rsidRPr="00B105EE" w:rsidRDefault="5F26371E"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Para o cargo de _______________________________: quantitativos mínimos equivalentes ao percentual de ______________ dos quantitativos licitados, para os serviços de ______________________________________________;</w:t>
      </w:r>
    </w:p>
    <w:p w14:paraId="2575E183" w14:textId="7A9F3869" w:rsidR="5F26371E" w:rsidRPr="00B105EE" w:rsidRDefault="5F26371E" w:rsidP="00B105EE">
      <w:pPr>
        <w:pStyle w:val="Normal-TJTR"/>
        <w:spacing w:after="360"/>
        <w:rPr>
          <w:rFonts w:asciiTheme="majorHAnsi" w:hAnsiTheme="majorHAnsi" w:cstheme="majorHAnsi"/>
          <w:b/>
          <w:bCs/>
          <w:sz w:val="24"/>
          <w:szCs w:val="24"/>
        </w:rPr>
      </w:pPr>
      <w:r w:rsidRPr="00B105EE">
        <w:rPr>
          <w:rFonts w:asciiTheme="majorHAnsi" w:hAnsiTheme="majorHAnsi" w:cstheme="majorHAnsi"/>
          <w:b/>
          <w:bCs/>
          <w:sz w:val="24"/>
          <w:szCs w:val="24"/>
        </w:rPr>
        <w:t>Exigências de instalações, aparelhamento e pessoal técnico</w:t>
      </w:r>
    </w:p>
    <w:p w14:paraId="2083B3FC" w14:textId="6C4BF0E4" w:rsidR="625265C3" w:rsidRPr="00B105EE" w:rsidRDefault="625265C3"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 xml:space="preserve">Na presente licitação, </w:t>
      </w:r>
      <w:proofErr w:type="gramStart"/>
      <w:r w:rsidRPr="00B105EE">
        <w:rPr>
          <w:rFonts w:asciiTheme="majorHAnsi" w:hAnsiTheme="majorHAnsi" w:cstheme="majorHAnsi"/>
          <w:sz w:val="24"/>
          <w:szCs w:val="24"/>
        </w:rPr>
        <w:t>(</w:t>
      </w:r>
      <w:r w:rsidR="0098684D">
        <w:rPr>
          <w:rFonts w:asciiTheme="majorHAnsi" w:hAnsiTheme="majorHAnsi" w:cstheme="majorHAnsi"/>
          <w:sz w:val="24"/>
          <w:szCs w:val="24"/>
        </w:rPr>
        <w:t xml:space="preserve">  </w:t>
      </w:r>
      <w:proofErr w:type="gramEnd"/>
      <w:r w:rsidR="0098684D">
        <w:rPr>
          <w:rFonts w:asciiTheme="majorHAnsi" w:hAnsiTheme="majorHAnsi" w:cstheme="majorHAnsi"/>
          <w:sz w:val="24"/>
          <w:szCs w:val="24"/>
        </w:rPr>
        <w:t xml:space="preserve"> </w:t>
      </w:r>
      <w:r w:rsidRPr="00B105EE">
        <w:rPr>
          <w:rFonts w:asciiTheme="majorHAnsi" w:hAnsiTheme="majorHAnsi" w:cstheme="majorHAnsi"/>
          <w:sz w:val="24"/>
          <w:szCs w:val="24"/>
        </w:rPr>
        <w:t>) SERÁ exigida a indicação de instalações, aparelhamento ou pessoal técnico com determinada qualificação, a seguir elencados:</w:t>
      </w:r>
    </w:p>
    <w:p w14:paraId="20377820" w14:textId="303451D7" w:rsidR="0098684D" w:rsidRPr="0098684D" w:rsidRDefault="0098684D" w:rsidP="0098684D">
      <w:pPr>
        <w:pStyle w:val="Normal-TJTR"/>
        <w:spacing w:after="360"/>
        <w:rPr>
          <w:rFonts w:asciiTheme="majorHAnsi" w:hAnsiTheme="majorHAnsi" w:cstheme="majorHAnsi"/>
          <w:b/>
          <w:bCs/>
          <w:sz w:val="24"/>
          <w:szCs w:val="24"/>
          <w:u w:val="single"/>
        </w:rPr>
      </w:pPr>
      <w:r>
        <w:rPr>
          <w:rFonts w:asciiTheme="majorHAnsi" w:hAnsiTheme="majorHAnsi" w:cstheme="majorHAnsi"/>
          <w:b/>
          <w:bCs/>
          <w:sz w:val="24"/>
          <w:szCs w:val="24"/>
          <w:u w:val="single"/>
        </w:rPr>
        <w:t>NÃO SERÁ EXIGIDA INSTALAÇÕES, APARELHAMENTO E PESSOAL TÉCNICO ESPECÍFICOS.</w:t>
      </w:r>
    </w:p>
    <w:p w14:paraId="240CAACB" w14:textId="0D3703FE" w:rsidR="0554D60B" w:rsidRDefault="001E704A" w:rsidP="00C000A1">
      <w:pPr>
        <w:pStyle w:val="Normal-TJTR"/>
        <w:spacing w:after="360" w:line="240" w:lineRule="auto"/>
        <w:rPr>
          <w:rFonts w:asciiTheme="majorHAnsi" w:hAnsiTheme="majorHAnsi" w:cstheme="majorHAnsi"/>
          <w:color w:val="0000FF"/>
          <w:sz w:val="24"/>
          <w:szCs w:val="24"/>
        </w:rPr>
      </w:pPr>
      <w:hyperlink w:anchor="nt_14" w:history="1">
        <w:r w:rsidR="0049541F" w:rsidRPr="00561435">
          <w:rPr>
            <w:rStyle w:val="Hyperlink"/>
            <w:rFonts w:asciiTheme="majorHAnsi" w:eastAsia="Times New Roman" w:hAnsiTheme="majorHAnsi" w:cstheme="majorHAnsi"/>
            <w:sz w:val="24"/>
            <w:szCs w:val="24"/>
          </w:rPr>
          <w:t xml:space="preserve">Vide </w:t>
        </w:r>
        <w:r w:rsidR="0049541F" w:rsidRPr="00561435">
          <w:rPr>
            <w:rStyle w:val="Hyperlink"/>
            <w:rFonts w:asciiTheme="majorHAnsi" w:hAnsiTheme="majorHAnsi" w:cstheme="majorHAnsi"/>
            <w:sz w:val="24"/>
            <w:szCs w:val="24"/>
          </w:rPr>
          <w:t>Nota Explicativa n. 1</w:t>
        </w:r>
        <w:r w:rsidR="00561435" w:rsidRPr="00561435">
          <w:rPr>
            <w:rStyle w:val="Hyperlink"/>
            <w:rFonts w:asciiTheme="majorHAnsi" w:hAnsiTheme="majorHAnsi" w:cstheme="majorHAnsi"/>
            <w:sz w:val="24"/>
            <w:szCs w:val="24"/>
          </w:rPr>
          <w:t>4</w:t>
        </w:r>
        <w:r w:rsidR="0049541F" w:rsidRPr="00561435">
          <w:rPr>
            <w:rStyle w:val="Hyperlink"/>
            <w:rFonts w:asciiTheme="majorHAnsi" w:hAnsiTheme="majorHAnsi" w:cstheme="majorHAnsi"/>
            <w:sz w:val="24"/>
            <w:szCs w:val="24"/>
          </w:rPr>
          <w:t>.</w:t>
        </w:r>
      </w:hyperlink>
    </w:p>
    <w:p w14:paraId="6023E7A5" w14:textId="77777777" w:rsidR="003632D8" w:rsidRPr="00C000A1" w:rsidRDefault="003632D8" w:rsidP="003632D8">
      <w:pPr>
        <w:pStyle w:val="TextoAGU"/>
        <w:numPr>
          <w:ilvl w:val="0"/>
          <w:numId w:val="0"/>
        </w:numPr>
        <w:spacing w:before="0" w:after="360"/>
        <w:rPr>
          <w:rFonts w:asciiTheme="majorHAnsi" w:hAnsiTheme="majorHAnsi" w:cstheme="majorHAnsi"/>
          <w:color w:val="0000FF"/>
          <w:sz w:val="24"/>
          <w:szCs w:val="24"/>
        </w:rPr>
      </w:pPr>
    </w:p>
    <w:p w14:paraId="3C17ECAE" w14:textId="10B4F45C" w:rsidR="003632D8" w:rsidRPr="003632D8" w:rsidRDefault="006014BF" w:rsidP="00533725">
      <w:pPr>
        <w:pStyle w:val="TJTRSubTT"/>
        <w:shd w:val="clear" w:color="auto" w:fill="D9D9D9" w:themeFill="background1" w:themeFillShade="D9"/>
        <w:spacing w:before="0" w:after="360"/>
        <w:ind w:left="0" w:firstLine="0"/>
        <w:rPr>
          <w:rFonts w:cstheme="majorHAnsi"/>
          <w:szCs w:val="24"/>
        </w:rPr>
      </w:pPr>
      <w:bookmarkStart w:id="37" w:name="_Toc142556198"/>
      <w:bookmarkStart w:id="38" w:name="nt_15_retorno"/>
      <w:r>
        <w:rPr>
          <w:rFonts w:cstheme="majorHAnsi"/>
          <w:caps w:val="0"/>
          <w:szCs w:val="24"/>
        </w:rPr>
        <w:t>VISTORIA</w:t>
      </w:r>
      <w:bookmarkEnd w:id="37"/>
    </w:p>
    <w:bookmarkEnd w:id="38"/>
    <w:p w14:paraId="2B6D260F" w14:textId="3D7BB2D9" w:rsidR="00EB24DF" w:rsidRDefault="625265C3" w:rsidP="003632D8">
      <w:pPr>
        <w:pStyle w:val="Normal-TJTR"/>
        <w:spacing w:after="360"/>
        <w:rPr>
          <w:b/>
          <w:bCs/>
          <w:u w:val="single"/>
        </w:rPr>
      </w:pPr>
      <w:r w:rsidRPr="00EE5D58">
        <w:rPr>
          <w:rFonts w:asciiTheme="majorHAnsi" w:hAnsiTheme="majorHAnsi" w:cstheme="majorHAnsi"/>
          <w:sz w:val="24"/>
          <w:szCs w:val="24"/>
        </w:rPr>
        <w:t xml:space="preserve">Na presente licitação, a realização de vistoria será </w:t>
      </w:r>
      <w:proofErr w:type="gramStart"/>
      <w:r w:rsidRPr="00EE5D58">
        <w:rPr>
          <w:rFonts w:asciiTheme="majorHAnsi" w:hAnsiTheme="majorHAnsi" w:cstheme="majorHAnsi"/>
          <w:sz w:val="24"/>
          <w:szCs w:val="24"/>
        </w:rPr>
        <w:t>(</w:t>
      </w:r>
      <w:r w:rsidR="0098684D">
        <w:rPr>
          <w:rFonts w:asciiTheme="majorHAnsi" w:hAnsiTheme="majorHAnsi" w:cstheme="majorHAnsi"/>
          <w:sz w:val="24"/>
          <w:szCs w:val="24"/>
        </w:rPr>
        <w:t xml:space="preserve"> </w:t>
      </w:r>
      <w:r w:rsidR="0098684D">
        <w:rPr>
          <w:rFonts w:asciiTheme="majorHAnsi" w:hAnsiTheme="majorHAnsi" w:cstheme="majorHAnsi"/>
          <w:b/>
          <w:bCs/>
          <w:sz w:val="24"/>
          <w:szCs w:val="24"/>
          <w:u w:val="single"/>
        </w:rPr>
        <w:t>X</w:t>
      </w:r>
      <w:proofErr w:type="gramEnd"/>
      <w:r w:rsidR="0098684D">
        <w:rPr>
          <w:rFonts w:asciiTheme="majorHAnsi" w:hAnsiTheme="majorHAnsi" w:cstheme="majorHAnsi"/>
          <w:sz w:val="24"/>
          <w:szCs w:val="24"/>
        </w:rPr>
        <w:t xml:space="preserve"> </w:t>
      </w:r>
      <w:r w:rsidRPr="00EE5D58">
        <w:rPr>
          <w:rFonts w:asciiTheme="majorHAnsi" w:hAnsiTheme="majorHAnsi" w:cstheme="majorHAnsi"/>
          <w:sz w:val="24"/>
          <w:szCs w:val="24"/>
        </w:rPr>
        <w:t>) FACULTATIVA ou (</w:t>
      </w:r>
      <w:r w:rsidR="0098684D">
        <w:rPr>
          <w:rFonts w:asciiTheme="majorHAnsi" w:hAnsiTheme="majorHAnsi" w:cstheme="majorHAnsi"/>
          <w:sz w:val="24"/>
          <w:szCs w:val="24"/>
        </w:rPr>
        <w:t xml:space="preserve">   </w:t>
      </w:r>
      <w:r w:rsidRPr="00EE5D58">
        <w:rPr>
          <w:rFonts w:asciiTheme="majorHAnsi" w:hAnsiTheme="majorHAnsi" w:cstheme="majorHAnsi"/>
          <w:sz w:val="24"/>
          <w:szCs w:val="24"/>
        </w:rPr>
        <w:t>) OBRIGATÓRIA, e o licitante (</w:t>
      </w:r>
      <w:r w:rsidR="0098684D">
        <w:rPr>
          <w:rFonts w:asciiTheme="majorHAnsi" w:hAnsiTheme="majorHAnsi" w:cstheme="majorHAnsi"/>
          <w:sz w:val="24"/>
          <w:szCs w:val="24"/>
        </w:rPr>
        <w:t xml:space="preserve"> </w:t>
      </w:r>
      <w:r w:rsidR="0098684D">
        <w:rPr>
          <w:rFonts w:asciiTheme="majorHAnsi" w:hAnsiTheme="majorHAnsi" w:cstheme="majorHAnsi"/>
          <w:b/>
          <w:bCs/>
          <w:sz w:val="24"/>
          <w:szCs w:val="24"/>
          <w:u w:val="single"/>
        </w:rPr>
        <w:t>X</w:t>
      </w:r>
      <w:r w:rsidR="0098684D">
        <w:rPr>
          <w:rFonts w:asciiTheme="majorHAnsi" w:hAnsiTheme="majorHAnsi" w:cstheme="majorHAnsi"/>
          <w:sz w:val="24"/>
          <w:szCs w:val="24"/>
        </w:rPr>
        <w:t xml:space="preserve"> </w:t>
      </w:r>
      <w:r w:rsidRPr="00EE5D58">
        <w:rPr>
          <w:rFonts w:asciiTheme="majorHAnsi" w:hAnsiTheme="majorHAnsi" w:cstheme="majorHAnsi"/>
          <w:sz w:val="24"/>
          <w:szCs w:val="24"/>
        </w:rPr>
        <w:t>) PODERÁ ou (   ) NÃO PODERÁ substituir o atestado de vistoria pela declaração de pleno conhecimento das condições de execução do objeto, com base na seguinte justificativa técnica:</w:t>
      </w:r>
      <w:r w:rsidR="00EB24DF" w:rsidRPr="00EE5D58">
        <w:rPr>
          <w:rFonts w:asciiTheme="majorHAnsi" w:hAnsiTheme="majorHAnsi" w:cstheme="majorHAnsi"/>
          <w:sz w:val="24"/>
          <w:szCs w:val="24"/>
        </w:rPr>
        <w:t xml:space="preserve"> </w:t>
      </w:r>
    </w:p>
    <w:p w14:paraId="1C38A182" w14:textId="0727BC4D" w:rsidR="0098684D" w:rsidRPr="0098684D" w:rsidRDefault="0098684D" w:rsidP="0098684D">
      <w:pPr>
        <w:pStyle w:val="Normal-TJTR"/>
        <w:spacing w:after="360"/>
        <w:rPr>
          <w:rFonts w:asciiTheme="majorHAnsi" w:hAnsiTheme="majorHAnsi" w:cstheme="majorHAnsi"/>
          <w:b/>
          <w:bCs/>
          <w:sz w:val="24"/>
          <w:szCs w:val="24"/>
          <w:u w:val="single"/>
        </w:rPr>
      </w:pPr>
      <w:r>
        <w:rPr>
          <w:rFonts w:asciiTheme="majorHAnsi" w:hAnsiTheme="majorHAnsi" w:cstheme="majorHAnsi"/>
          <w:b/>
          <w:bCs/>
          <w:sz w:val="24"/>
          <w:szCs w:val="24"/>
          <w:u w:val="single"/>
        </w:rPr>
        <w:t>A LICITANTE DEVERÁ APRESENTAR DECLARAÇÃO QUE CONHECE AS CONDIÇÕES DO LOCAL DA OBRA.</w:t>
      </w:r>
    </w:p>
    <w:p w14:paraId="522C7471" w14:textId="79F4DC82" w:rsidR="004E0CBC" w:rsidRDefault="001E704A" w:rsidP="004E0CBC">
      <w:pPr>
        <w:pStyle w:val="Normal-TJTR"/>
        <w:spacing w:after="360"/>
        <w:rPr>
          <w:rFonts w:asciiTheme="majorHAnsi" w:hAnsiTheme="majorHAnsi" w:cstheme="majorHAnsi"/>
          <w:color w:val="0000FF"/>
          <w:sz w:val="24"/>
          <w:szCs w:val="24"/>
        </w:rPr>
      </w:pPr>
      <w:hyperlink w:anchor="nt_15" w:history="1">
        <w:r w:rsidR="004E0CBC" w:rsidRPr="00561435">
          <w:rPr>
            <w:rStyle w:val="Hyperlink"/>
            <w:rFonts w:asciiTheme="majorHAnsi" w:hAnsiTheme="majorHAnsi" w:cstheme="majorHAnsi"/>
            <w:sz w:val="24"/>
            <w:szCs w:val="24"/>
          </w:rPr>
          <w:t>Vide Nota Explicativa n. 1</w:t>
        </w:r>
        <w:r w:rsidR="00561435" w:rsidRPr="00561435">
          <w:rPr>
            <w:rStyle w:val="Hyperlink"/>
            <w:rFonts w:asciiTheme="majorHAnsi" w:hAnsiTheme="majorHAnsi" w:cstheme="majorHAnsi"/>
            <w:sz w:val="24"/>
            <w:szCs w:val="24"/>
          </w:rPr>
          <w:t>5</w:t>
        </w:r>
        <w:r w:rsidR="004E0CBC" w:rsidRPr="00561435">
          <w:rPr>
            <w:rStyle w:val="Hyperlink"/>
            <w:rFonts w:asciiTheme="majorHAnsi" w:hAnsiTheme="majorHAnsi" w:cstheme="majorHAnsi"/>
            <w:sz w:val="24"/>
            <w:szCs w:val="24"/>
          </w:rPr>
          <w:t>.</w:t>
        </w:r>
      </w:hyperlink>
    </w:p>
    <w:p w14:paraId="1435E4E5" w14:textId="2A501A39" w:rsidR="0554D60B" w:rsidRPr="00B105EE" w:rsidRDefault="0554D60B" w:rsidP="00B105EE">
      <w:pPr>
        <w:pStyle w:val="Normal-TJTR"/>
        <w:spacing w:after="360"/>
        <w:rPr>
          <w:rFonts w:asciiTheme="majorHAnsi" w:hAnsiTheme="majorHAnsi" w:cstheme="majorHAnsi"/>
          <w:sz w:val="24"/>
          <w:szCs w:val="24"/>
        </w:rPr>
      </w:pPr>
    </w:p>
    <w:p w14:paraId="3FC8BE13" w14:textId="2B49B861" w:rsidR="00B403B1"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39" w:name="_Toc142556199"/>
      <w:bookmarkStart w:id="40" w:name="nt_16_retorno"/>
      <w:r w:rsidRPr="00C000A1">
        <w:rPr>
          <w:rFonts w:cstheme="majorHAnsi"/>
          <w:caps w:val="0"/>
          <w:szCs w:val="24"/>
        </w:rPr>
        <w:lastRenderedPageBreak/>
        <w:t>SUBCONTRATAÇÃO</w:t>
      </w:r>
      <w:bookmarkEnd w:id="39"/>
      <w:r w:rsidRPr="00C000A1">
        <w:rPr>
          <w:rFonts w:cstheme="majorHAnsi"/>
          <w:caps w:val="0"/>
          <w:szCs w:val="24"/>
        </w:rPr>
        <w:t xml:space="preserve"> </w:t>
      </w:r>
    </w:p>
    <w:bookmarkEnd w:id="40"/>
    <w:p w14:paraId="1330BBF7" w14:textId="12EDBD43" w:rsidR="00B403B1" w:rsidRPr="00C000A1" w:rsidRDefault="00B403B1"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 xml:space="preserve">O </w:t>
      </w:r>
      <w:r w:rsidR="00B966CC" w:rsidRPr="00B966CC">
        <w:rPr>
          <w:rFonts w:asciiTheme="majorHAnsi" w:hAnsiTheme="majorHAnsi" w:cstheme="majorHAnsi"/>
          <w:sz w:val="24"/>
          <w:szCs w:val="24"/>
        </w:rPr>
        <w:t xml:space="preserve">órgão assessorado </w:t>
      </w:r>
      <w:proofErr w:type="gramStart"/>
      <w:r w:rsidR="0098684D">
        <w:rPr>
          <w:rFonts w:asciiTheme="majorHAnsi" w:hAnsiTheme="majorHAnsi" w:cstheme="majorHAnsi"/>
          <w:sz w:val="24"/>
          <w:szCs w:val="24"/>
        </w:rPr>
        <w:t xml:space="preserve">(  </w:t>
      </w:r>
      <w:proofErr w:type="gramEnd"/>
      <w:r w:rsidR="0098684D">
        <w:rPr>
          <w:rFonts w:asciiTheme="majorHAnsi" w:hAnsiTheme="majorHAnsi" w:cstheme="majorHAnsi"/>
          <w:sz w:val="24"/>
          <w:szCs w:val="24"/>
        </w:rPr>
        <w:t xml:space="preserve"> </w:t>
      </w:r>
      <w:r w:rsidRPr="00C000A1">
        <w:rPr>
          <w:rFonts w:asciiTheme="majorHAnsi" w:hAnsiTheme="majorHAnsi" w:cstheme="majorHAnsi"/>
          <w:sz w:val="24"/>
          <w:szCs w:val="24"/>
        </w:rPr>
        <w:t>) NÃO ADMITIU ou (</w:t>
      </w:r>
      <w:r w:rsidR="0098684D">
        <w:rPr>
          <w:rFonts w:asciiTheme="majorHAnsi" w:hAnsiTheme="majorHAnsi" w:cstheme="majorHAnsi"/>
          <w:sz w:val="24"/>
          <w:szCs w:val="24"/>
        </w:rPr>
        <w:t xml:space="preserve"> </w:t>
      </w:r>
      <w:r w:rsidR="0098684D">
        <w:rPr>
          <w:rFonts w:asciiTheme="majorHAnsi" w:hAnsiTheme="majorHAnsi" w:cstheme="majorHAnsi"/>
          <w:b/>
          <w:bCs/>
          <w:sz w:val="24"/>
          <w:szCs w:val="24"/>
          <w:u w:val="single"/>
        </w:rPr>
        <w:t>X</w:t>
      </w:r>
      <w:r w:rsidR="0098684D">
        <w:rPr>
          <w:rFonts w:asciiTheme="majorHAnsi" w:hAnsiTheme="majorHAnsi" w:cstheme="majorHAnsi"/>
          <w:sz w:val="24"/>
          <w:szCs w:val="24"/>
        </w:rPr>
        <w:t xml:space="preserve"> </w:t>
      </w:r>
      <w:r w:rsidRPr="00C000A1">
        <w:rPr>
          <w:rFonts w:asciiTheme="majorHAnsi" w:hAnsiTheme="majorHAnsi" w:cstheme="majorHAnsi"/>
          <w:sz w:val="24"/>
          <w:szCs w:val="24"/>
        </w:rPr>
        <w:t xml:space="preserve">) ADMITIU a subcontratação parcial na presente licitação, sob as seguintes condições e </w:t>
      </w:r>
      <w:r w:rsidRPr="00A9471D">
        <w:rPr>
          <w:rFonts w:asciiTheme="majorHAnsi" w:hAnsiTheme="majorHAnsi" w:cstheme="majorHAnsi"/>
          <w:b/>
          <w:bCs/>
          <w:sz w:val="24"/>
          <w:szCs w:val="24"/>
        </w:rPr>
        <w:t>justificativas</w:t>
      </w:r>
      <w:r w:rsidRPr="00C000A1">
        <w:rPr>
          <w:rFonts w:asciiTheme="majorHAnsi" w:hAnsiTheme="majorHAnsi" w:cstheme="majorHAnsi"/>
          <w:sz w:val="24"/>
          <w:szCs w:val="24"/>
        </w:rPr>
        <w:t xml:space="preserve"> técnicas:</w:t>
      </w:r>
    </w:p>
    <w:p w14:paraId="7FEF9C24" w14:textId="7610CCD8" w:rsidR="00D162DF" w:rsidRDefault="0098684D" w:rsidP="00C000A1">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 xml:space="preserve">ADMITE-SE A SUBCONTRATAÇÃO </w:t>
      </w:r>
      <w:r w:rsidR="00B02415">
        <w:rPr>
          <w:rFonts w:asciiTheme="majorHAnsi" w:hAnsiTheme="majorHAnsi" w:cstheme="majorHAnsi"/>
          <w:b/>
          <w:bCs/>
          <w:sz w:val="24"/>
          <w:szCs w:val="24"/>
          <w:u w:val="single"/>
          <w:lang w:eastAsia="pt-BR"/>
        </w:rPr>
        <w:t xml:space="preserve">DE ATÉ </w:t>
      </w:r>
      <w:r w:rsidR="005247D4">
        <w:rPr>
          <w:rFonts w:asciiTheme="majorHAnsi" w:hAnsiTheme="majorHAnsi" w:cstheme="majorHAnsi"/>
          <w:b/>
          <w:bCs/>
          <w:sz w:val="24"/>
          <w:szCs w:val="24"/>
          <w:u w:val="single"/>
          <w:lang w:eastAsia="pt-BR"/>
        </w:rPr>
        <w:t>4,77</w:t>
      </w:r>
      <w:r w:rsidR="00B02415">
        <w:rPr>
          <w:rFonts w:asciiTheme="majorHAnsi" w:hAnsiTheme="majorHAnsi" w:cstheme="majorHAnsi"/>
          <w:b/>
          <w:bCs/>
          <w:sz w:val="24"/>
          <w:szCs w:val="24"/>
          <w:u w:val="single"/>
          <w:lang w:eastAsia="pt-BR"/>
        </w:rPr>
        <w:t xml:space="preserve">% </w:t>
      </w:r>
      <w:r w:rsidR="00D162DF">
        <w:rPr>
          <w:rFonts w:asciiTheme="majorHAnsi" w:hAnsiTheme="majorHAnsi" w:cstheme="majorHAnsi"/>
          <w:b/>
          <w:bCs/>
          <w:sz w:val="24"/>
          <w:szCs w:val="24"/>
          <w:u w:val="single"/>
          <w:lang w:eastAsia="pt-BR"/>
        </w:rPr>
        <w:t xml:space="preserve">(PARCELAS REFERENTES </w:t>
      </w:r>
      <w:r w:rsidR="005247D4">
        <w:rPr>
          <w:rFonts w:asciiTheme="majorHAnsi" w:hAnsiTheme="majorHAnsi" w:cstheme="majorHAnsi"/>
          <w:b/>
          <w:bCs/>
          <w:sz w:val="24"/>
          <w:szCs w:val="24"/>
          <w:u w:val="single"/>
          <w:lang w:eastAsia="pt-BR"/>
        </w:rPr>
        <w:t>AS PINTURAS</w:t>
      </w:r>
      <w:r w:rsidR="00D162DF">
        <w:rPr>
          <w:rFonts w:asciiTheme="majorHAnsi" w:hAnsiTheme="majorHAnsi" w:cstheme="majorHAnsi"/>
          <w:b/>
          <w:bCs/>
          <w:sz w:val="24"/>
          <w:szCs w:val="24"/>
          <w:u w:val="single"/>
          <w:lang w:eastAsia="pt-BR"/>
        </w:rPr>
        <w:t xml:space="preserve">) </w:t>
      </w:r>
      <w:r w:rsidR="00B02415">
        <w:rPr>
          <w:rFonts w:asciiTheme="majorHAnsi" w:hAnsiTheme="majorHAnsi" w:cstheme="majorHAnsi"/>
          <w:b/>
          <w:bCs/>
          <w:sz w:val="24"/>
          <w:szCs w:val="24"/>
          <w:u w:val="single"/>
          <w:lang w:eastAsia="pt-BR"/>
        </w:rPr>
        <w:t xml:space="preserve">DO VALOR </w:t>
      </w:r>
      <w:r w:rsidR="00D162DF">
        <w:rPr>
          <w:rFonts w:asciiTheme="majorHAnsi" w:hAnsiTheme="majorHAnsi" w:cstheme="majorHAnsi"/>
          <w:b/>
          <w:bCs/>
          <w:sz w:val="24"/>
          <w:szCs w:val="24"/>
          <w:u w:val="single"/>
          <w:lang w:eastAsia="pt-BR"/>
        </w:rPr>
        <w:t>DO OBJETO.</w:t>
      </w:r>
    </w:p>
    <w:p w14:paraId="644602A2" w14:textId="3F0A781C" w:rsidR="00D162DF" w:rsidRDefault="00D162DF" w:rsidP="00C000A1">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EM CONTRAPONTO, É VEDADA A SUBCONTRATAÇÃO DA PARCELA DE MAIOR RELEVÂNCIA (</w:t>
      </w:r>
      <w:r w:rsidR="005247D4">
        <w:rPr>
          <w:rFonts w:asciiTheme="majorHAnsi" w:hAnsiTheme="majorHAnsi" w:cstheme="majorHAnsi"/>
          <w:b/>
          <w:bCs/>
          <w:sz w:val="24"/>
          <w:szCs w:val="24"/>
          <w:u w:val="single"/>
          <w:lang w:eastAsia="pt-BR"/>
        </w:rPr>
        <w:t>COBERTURA</w:t>
      </w:r>
      <w:r>
        <w:rPr>
          <w:rFonts w:asciiTheme="majorHAnsi" w:hAnsiTheme="majorHAnsi" w:cstheme="majorHAnsi"/>
          <w:b/>
          <w:bCs/>
          <w:sz w:val="24"/>
          <w:szCs w:val="24"/>
          <w:u w:val="single"/>
          <w:lang w:eastAsia="pt-BR"/>
        </w:rPr>
        <w:t xml:space="preserve">), QUAL REPRESENTA </w:t>
      </w:r>
      <w:r w:rsidR="005247D4">
        <w:rPr>
          <w:rFonts w:asciiTheme="majorHAnsi" w:hAnsiTheme="majorHAnsi" w:cstheme="majorHAnsi"/>
          <w:b/>
          <w:bCs/>
          <w:sz w:val="24"/>
          <w:szCs w:val="24"/>
          <w:u w:val="single"/>
          <w:lang w:eastAsia="pt-BR"/>
        </w:rPr>
        <w:t>53,77</w:t>
      </w:r>
      <w:r>
        <w:rPr>
          <w:rFonts w:asciiTheme="majorHAnsi" w:hAnsiTheme="majorHAnsi" w:cstheme="majorHAnsi"/>
          <w:b/>
          <w:bCs/>
          <w:sz w:val="24"/>
          <w:szCs w:val="24"/>
          <w:u w:val="single"/>
          <w:lang w:eastAsia="pt-BR"/>
        </w:rPr>
        <w:t>% DO VALOR DO OBJETO.</w:t>
      </w:r>
    </w:p>
    <w:p w14:paraId="710FA959" w14:textId="712BDBAA" w:rsidR="00B403B1" w:rsidRPr="004E0CBC" w:rsidRDefault="001E704A" w:rsidP="004E0CBC">
      <w:pPr>
        <w:pStyle w:val="Normal-TJTR"/>
        <w:spacing w:after="360"/>
        <w:rPr>
          <w:rFonts w:asciiTheme="majorHAnsi" w:hAnsiTheme="majorHAnsi" w:cstheme="majorHAnsi"/>
          <w:sz w:val="24"/>
          <w:szCs w:val="24"/>
        </w:rPr>
      </w:pPr>
      <w:hyperlink w:anchor="nt_16" w:history="1">
        <w:r w:rsidR="00B403B1" w:rsidRPr="00561435">
          <w:rPr>
            <w:rStyle w:val="Hyperlink"/>
            <w:rFonts w:asciiTheme="majorHAnsi" w:hAnsiTheme="majorHAnsi" w:cstheme="majorHAnsi"/>
            <w:sz w:val="24"/>
            <w:szCs w:val="24"/>
          </w:rPr>
          <w:t xml:space="preserve">Vide </w:t>
        </w:r>
        <w:r w:rsidR="004E0CBC" w:rsidRPr="00561435">
          <w:rPr>
            <w:rStyle w:val="Hyperlink"/>
            <w:rFonts w:asciiTheme="majorHAnsi" w:hAnsiTheme="majorHAnsi" w:cstheme="majorHAnsi"/>
            <w:sz w:val="24"/>
            <w:szCs w:val="24"/>
          </w:rPr>
          <w:t>Nota Explicativa n. 1</w:t>
        </w:r>
        <w:r w:rsidR="00561435" w:rsidRPr="00561435">
          <w:rPr>
            <w:rStyle w:val="Hyperlink"/>
            <w:rFonts w:asciiTheme="majorHAnsi" w:hAnsiTheme="majorHAnsi" w:cstheme="majorHAnsi"/>
            <w:sz w:val="24"/>
            <w:szCs w:val="24"/>
          </w:rPr>
          <w:t>6</w:t>
        </w:r>
        <w:r w:rsidR="004E0CBC" w:rsidRPr="00561435">
          <w:rPr>
            <w:rStyle w:val="Hyperlink"/>
            <w:rFonts w:asciiTheme="majorHAnsi" w:hAnsiTheme="majorHAnsi" w:cstheme="majorHAnsi"/>
            <w:sz w:val="24"/>
            <w:szCs w:val="24"/>
          </w:rPr>
          <w:t>.</w:t>
        </w:r>
      </w:hyperlink>
    </w:p>
    <w:p w14:paraId="00E0C009" w14:textId="19B89C7E" w:rsidR="00B403B1" w:rsidRPr="00A377AE" w:rsidRDefault="006014BF" w:rsidP="00533725">
      <w:pPr>
        <w:pStyle w:val="TJTRSubTT"/>
        <w:shd w:val="clear" w:color="auto" w:fill="D9D9D9" w:themeFill="background1" w:themeFillShade="D9"/>
        <w:spacing w:before="0" w:after="360"/>
        <w:ind w:left="0" w:firstLine="0"/>
        <w:rPr>
          <w:rFonts w:cstheme="majorHAnsi"/>
          <w:szCs w:val="24"/>
        </w:rPr>
      </w:pPr>
      <w:bookmarkStart w:id="41" w:name="_Toc142556200"/>
      <w:bookmarkStart w:id="42" w:name="nt_17_retorno"/>
      <w:r w:rsidRPr="00A377AE">
        <w:rPr>
          <w:rFonts w:cstheme="majorHAnsi"/>
          <w:caps w:val="0"/>
          <w:szCs w:val="24"/>
        </w:rPr>
        <w:t>DEFINIÇÃO DO PERCENTUAL DE CAPITAL OU PATRIMÔNIO LÍQUIDO MÍNIMO</w:t>
      </w:r>
      <w:bookmarkEnd w:id="41"/>
    </w:p>
    <w:bookmarkEnd w:id="42"/>
    <w:p w14:paraId="4933C0C2" w14:textId="30BFFC57" w:rsidR="00B403B1" w:rsidRPr="00A377AE" w:rsidRDefault="00B403B1" w:rsidP="00C000A1">
      <w:pPr>
        <w:pStyle w:val="Normal-TJTR"/>
        <w:spacing w:after="360"/>
        <w:rPr>
          <w:rFonts w:asciiTheme="majorHAnsi" w:hAnsiTheme="majorHAnsi" w:cstheme="majorHAnsi"/>
          <w:sz w:val="24"/>
          <w:szCs w:val="24"/>
        </w:rPr>
      </w:pPr>
      <w:r w:rsidRPr="00A377AE">
        <w:rPr>
          <w:rFonts w:asciiTheme="majorHAnsi" w:hAnsiTheme="majorHAnsi" w:cstheme="majorHAnsi"/>
          <w:sz w:val="24"/>
          <w:szCs w:val="24"/>
        </w:rPr>
        <w:t xml:space="preserve">Na presente licitação, será exigida a comprovação de </w:t>
      </w:r>
      <w:proofErr w:type="gramStart"/>
      <w:r w:rsidRPr="00A377AE">
        <w:rPr>
          <w:rFonts w:asciiTheme="majorHAnsi" w:hAnsiTheme="majorHAnsi" w:cstheme="majorHAnsi"/>
          <w:sz w:val="24"/>
          <w:szCs w:val="24"/>
        </w:rPr>
        <w:t>(</w:t>
      </w:r>
      <w:r w:rsidR="00A377AE">
        <w:rPr>
          <w:rFonts w:asciiTheme="majorHAnsi" w:hAnsiTheme="majorHAnsi" w:cstheme="majorHAnsi"/>
          <w:sz w:val="24"/>
          <w:szCs w:val="24"/>
        </w:rPr>
        <w:t xml:space="preserve"> </w:t>
      </w:r>
      <w:r w:rsidR="00B02415" w:rsidRPr="00A377AE">
        <w:rPr>
          <w:rFonts w:asciiTheme="majorHAnsi" w:hAnsiTheme="majorHAnsi" w:cstheme="majorHAnsi"/>
          <w:b/>
          <w:bCs/>
          <w:sz w:val="24"/>
          <w:szCs w:val="24"/>
          <w:u w:val="single"/>
        </w:rPr>
        <w:t>X</w:t>
      </w:r>
      <w:proofErr w:type="gramEnd"/>
      <w:r w:rsidR="00B02415" w:rsidRPr="00A377AE">
        <w:rPr>
          <w:rFonts w:asciiTheme="majorHAnsi" w:hAnsiTheme="majorHAnsi" w:cstheme="majorHAnsi"/>
          <w:sz w:val="24"/>
          <w:szCs w:val="24"/>
        </w:rPr>
        <w:t xml:space="preserve"> </w:t>
      </w:r>
      <w:r w:rsidRPr="00A377AE">
        <w:rPr>
          <w:rFonts w:asciiTheme="majorHAnsi" w:hAnsiTheme="majorHAnsi" w:cstheme="majorHAnsi"/>
          <w:sz w:val="24"/>
          <w:szCs w:val="24"/>
        </w:rPr>
        <w:t>) CAPITAL MÍNIMO ou (</w:t>
      </w:r>
      <w:r w:rsidR="00B02415" w:rsidRPr="00A377AE">
        <w:rPr>
          <w:rFonts w:asciiTheme="majorHAnsi" w:hAnsiTheme="majorHAnsi" w:cstheme="majorHAnsi"/>
          <w:sz w:val="24"/>
          <w:szCs w:val="24"/>
        </w:rPr>
        <w:t xml:space="preserve"> </w:t>
      </w:r>
      <w:r w:rsidR="00B02415" w:rsidRPr="00A377AE">
        <w:rPr>
          <w:rFonts w:asciiTheme="majorHAnsi" w:hAnsiTheme="majorHAnsi" w:cstheme="majorHAnsi"/>
          <w:b/>
          <w:bCs/>
          <w:sz w:val="24"/>
          <w:szCs w:val="24"/>
          <w:u w:val="single"/>
        </w:rPr>
        <w:t>X</w:t>
      </w:r>
      <w:r w:rsidR="00B02415" w:rsidRPr="00A377AE">
        <w:rPr>
          <w:rFonts w:asciiTheme="majorHAnsi" w:hAnsiTheme="majorHAnsi" w:cstheme="majorHAnsi"/>
          <w:sz w:val="24"/>
          <w:szCs w:val="24"/>
        </w:rPr>
        <w:t xml:space="preserve"> </w:t>
      </w:r>
      <w:r w:rsidRPr="00A377AE">
        <w:rPr>
          <w:rFonts w:asciiTheme="majorHAnsi" w:hAnsiTheme="majorHAnsi" w:cstheme="majorHAnsi"/>
          <w:sz w:val="24"/>
          <w:szCs w:val="24"/>
        </w:rPr>
        <w:t>) PATRIMÔNIO LÍQUIDO MÍNIMO, no percentual de (</w:t>
      </w:r>
      <w:r w:rsidR="00B02415" w:rsidRPr="00A377AE">
        <w:rPr>
          <w:rFonts w:asciiTheme="majorHAnsi" w:hAnsiTheme="majorHAnsi" w:cstheme="majorHAnsi"/>
          <w:b/>
          <w:bCs/>
          <w:sz w:val="24"/>
          <w:szCs w:val="24"/>
          <w:u w:val="single"/>
        </w:rPr>
        <w:t>10%</w:t>
      </w:r>
      <w:r w:rsidRPr="00A377AE">
        <w:rPr>
          <w:rFonts w:asciiTheme="majorHAnsi" w:hAnsiTheme="majorHAnsi" w:cstheme="majorHAnsi"/>
          <w:sz w:val="24"/>
          <w:szCs w:val="24"/>
        </w:rPr>
        <w:t xml:space="preserve">) por cento sobre o valor total estimado da contratação, com base na seguinte </w:t>
      </w:r>
      <w:r w:rsidRPr="00A377AE">
        <w:rPr>
          <w:rFonts w:asciiTheme="majorHAnsi" w:hAnsiTheme="majorHAnsi" w:cstheme="majorHAnsi"/>
          <w:b/>
          <w:bCs/>
          <w:sz w:val="24"/>
          <w:szCs w:val="24"/>
        </w:rPr>
        <w:t xml:space="preserve">justificativa </w:t>
      </w:r>
      <w:r w:rsidRPr="00A377AE">
        <w:rPr>
          <w:rFonts w:asciiTheme="majorHAnsi" w:hAnsiTheme="majorHAnsi" w:cstheme="majorHAnsi"/>
          <w:sz w:val="24"/>
          <w:szCs w:val="24"/>
        </w:rPr>
        <w:t>técnica:</w:t>
      </w:r>
    </w:p>
    <w:p w14:paraId="6176A1C0" w14:textId="25B9EF56" w:rsidR="00B403B1" w:rsidRPr="00A377AE" w:rsidRDefault="00B02415" w:rsidP="00C000A1">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sidRPr="00A377AE">
        <w:rPr>
          <w:rFonts w:asciiTheme="majorHAnsi" w:hAnsiTheme="majorHAnsi" w:cstheme="majorHAnsi"/>
          <w:b/>
          <w:bCs/>
          <w:sz w:val="24"/>
          <w:szCs w:val="24"/>
          <w:u w:val="single"/>
          <w:lang w:eastAsia="pt-BR"/>
        </w:rPr>
        <w:t>LIMITE LEGAL DE 10% (DEZ POR CENTO).</w:t>
      </w:r>
    </w:p>
    <w:p w14:paraId="1F282ECD" w14:textId="0E780DD0" w:rsidR="00B403B1" w:rsidRDefault="001E704A"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17" w:history="1">
        <w:r w:rsidR="00B403B1" w:rsidRPr="00561435">
          <w:rPr>
            <w:rStyle w:val="Hyperlink"/>
            <w:rFonts w:asciiTheme="majorHAnsi" w:hAnsiTheme="majorHAnsi" w:cstheme="majorHAnsi"/>
            <w:sz w:val="24"/>
            <w:szCs w:val="24"/>
          </w:rPr>
          <w:t xml:space="preserve">Vide </w:t>
        </w:r>
        <w:r w:rsidR="00EB1CA4">
          <w:rPr>
            <w:rStyle w:val="Hyperlink"/>
            <w:rFonts w:asciiTheme="majorHAnsi" w:hAnsiTheme="majorHAnsi" w:cstheme="majorHAnsi"/>
            <w:sz w:val="24"/>
            <w:szCs w:val="24"/>
          </w:rPr>
          <w:t>Nota Explicativa n. 17</w:t>
        </w:r>
        <w:r w:rsidR="00705638" w:rsidRPr="00561435">
          <w:rPr>
            <w:rStyle w:val="Hyperlink"/>
            <w:rFonts w:asciiTheme="majorHAnsi" w:hAnsiTheme="majorHAnsi" w:cstheme="majorHAnsi"/>
            <w:sz w:val="24"/>
            <w:szCs w:val="24"/>
          </w:rPr>
          <w:t>.</w:t>
        </w:r>
      </w:hyperlink>
    </w:p>
    <w:p w14:paraId="482439A7" w14:textId="77777777" w:rsidR="004C4264" w:rsidRPr="00C000A1" w:rsidRDefault="004C4264"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63981F19" w14:textId="3DA4A7CF" w:rsidR="00B403B1"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43" w:name="_Toc142556201"/>
      <w:bookmarkStart w:id="44" w:name="nt_18_retorno"/>
      <w:r>
        <w:rPr>
          <w:rFonts w:cstheme="majorHAnsi"/>
          <w:caps w:val="0"/>
          <w:szCs w:val="24"/>
        </w:rPr>
        <w:t>P</w:t>
      </w:r>
      <w:r w:rsidRPr="00C000A1">
        <w:rPr>
          <w:rFonts w:cstheme="majorHAnsi"/>
          <w:caps w:val="0"/>
          <w:szCs w:val="24"/>
        </w:rPr>
        <w:t>ARTICIPAÇÃO DE CONSÓRCIOS</w:t>
      </w:r>
      <w:bookmarkEnd w:id="43"/>
    </w:p>
    <w:bookmarkEnd w:id="44"/>
    <w:p w14:paraId="362E7026" w14:textId="77777777" w:rsidR="00C172B6" w:rsidRDefault="00B403B1"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 xml:space="preserve">Na presente licitação, será </w:t>
      </w:r>
    </w:p>
    <w:p w14:paraId="02BA785C" w14:textId="6C507749" w:rsidR="00C172B6" w:rsidRDefault="00C172B6" w:rsidP="00C000A1">
      <w:pPr>
        <w:pStyle w:val="Normal-TJTR"/>
        <w:spacing w:after="360"/>
        <w:rPr>
          <w:rFonts w:asciiTheme="majorHAnsi" w:hAnsiTheme="majorHAnsi" w:cstheme="majorHAnsi"/>
          <w:sz w:val="24"/>
          <w:szCs w:val="24"/>
        </w:rPr>
      </w:pPr>
      <w:proofErr w:type="gramStart"/>
      <w:r w:rsidRPr="00C000A1">
        <w:rPr>
          <w:rFonts w:asciiTheme="majorHAnsi" w:hAnsiTheme="majorHAnsi" w:cstheme="majorHAnsi"/>
          <w:sz w:val="24"/>
          <w:szCs w:val="24"/>
        </w:rPr>
        <w:t>(</w:t>
      </w:r>
      <w:r w:rsidR="00B02415">
        <w:rPr>
          <w:rFonts w:asciiTheme="majorHAnsi" w:hAnsiTheme="majorHAnsi" w:cstheme="majorHAnsi"/>
          <w:sz w:val="24"/>
          <w:szCs w:val="24"/>
        </w:rPr>
        <w:t xml:space="preserve">  </w:t>
      </w:r>
      <w:proofErr w:type="gramEnd"/>
      <w:r w:rsidR="00B02415">
        <w:rPr>
          <w:rFonts w:asciiTheme="majorHAnsi" w:hAnsiTheme="majorHAnsi" w:cstheme="majorHAnsi"/>
          <w:sz w:val="24"/>
          <w:szCs w:val="24"/>
        </w:rPr>
        <w:t xml:space="preserve"> </w:t>
      </w:r>
      <w:r w:rsidRPr="00C000A1">
        <w:rPr>
          <w:rFonts w:asciiTheme="majorHAnsi" w:hAnsiTheme="majorHAnsi" w:cstheme="majorHAnsi"/>
          <w:sz w:val="24"/>
          <w:szCs w:val="24"/>
        </w:rPr>
        <w:t>) PERMITIDA a participação de</w:t>
      </w:r>
      <w:r>
        <w:rPr>
          <w:rFonts w:asciiTheme="majorHAnsi" w:hAnsiTheme="majorHAnsi" w:cstheme="majorHAnsi"/>
          <w:sz w:val="24"/>
          <w:szCs w:val="24"/>
        </w:rPr>
        <w:t xml:space="preserve"> consórcios. (</w:t>
      </w:r>
      <w:r w:rsidRPr="00C172B6">
        <w:rPr>
          <w:rFonts w:asciiTheme="majorHAnsi" w:hAnsiTheme="majorHAnsi" w:cstheme="majorHAnsi"/>
          <w:i/>
          <w:iCs/>
          <w:sz w:val="24"/>
          <w:szCs w:val="24"/>
        </w:rPr>
        <w:t>Não é necessário justificar</w:t>
      </w:r>
      <w:r>
        <w:rPr>
          <w:rFonts w:asciiTheme="majorHAnsi" w:hAnsiTheme="majorHAnsi" w:cstheme="majorHAnsi"/>
          <w:sz w:val="24"/>
          <w:szCs w:val="24"/>
        </w:rPr>
        <w:t>)</w:t>
      </w:r>
    </w:p>
    <w:p w14:paraId="5DEDFDDD" w14:textId="3C3296E7" w:rsidR="00B403B1" w:rsidRPr="00C000A1" w:rsidRDefault="00C172B6" w:rsidP="00C000A1">
      <w:pPr>
        <w:pStyle w:val="Normal-TJTR"/>
        <w:spacing w:after="360"/>
        <w:rPr>
          <w:rFonts w:asciiTheme="majorHAnsi" w:hAnsiTheme="majorHAnsi" w:cstheme="majorHAnsi"/>
          <w:sz w:val="24"/>
          <w:szCs w:val="24"/>
        </w:rPr>
      </w:pPr>
      <w:proofErr w:type="gramStart"/>
      <w:r>
        <w:rPr>
          <w:rFonts w:asciiTheme="majorHAnsi" w:hAnsiTheme="majorHAnsi" w:cstheme="majorHAnsi"/>
          <w:sz w:val="24"/>
          <w:szCs w:val="24"/>
        </w:rPr>
        <w:t>(</w:t>
      </w:r>
      <w:r w:rsidR="00B02415">
        <w:rPr>
          <w:rFonts w:asciiTheme="majorHAnsi" w:hAnsiTheme="majorHAnsi" w:cstheme="majorHAnsi"/>
          <w:sz w:val="24"/>
          <w:szCs w:val="24"/>
        </w:rPr>
        <w:t xml:space="preserve"> </w:t>
      </w:r>
      <w:r w:rsidR="00B02415">
        <w:rPr>
          <w:rFonts w:asciiTheme="majorHAnsi" w:hAnsiTheme="majorHAnsi" w:cstheme="majorHAnsi"/>
          <w:b/>
          <w:bCs/>
          <w:sz w:val="24"/>
          <w:szCs w:val="24"/>
          <w:u w:val="single"/>
        </w:rPr>
        <w:t>X</w:t>
      </w:r>
      <w:proofErr w:type="gramEnd"/>
      <w:r w:rsidR="00B02415">
        <w:rPr>
          <w:rFonts w:asciiTheme="majorHAnsi" w:hAnsiTheme="majorHAnsi" w:cstheme="majorHAnsi"/>
          <w:sz w:val="24"/>
          <w:szCs w:val="24"/>
        </w:rPr>
        <w:t xml:space="preserve"> </w:t>
      </w:r>
      <w:r>
        <w:rPr>
          <w:rFonts w:asciiTheme="majorHAnsi" w:hAnsiTheme="majorHAnsi" w:cstheme="majorHAnsi"/>
          <w:sz w:val="24"/>
          <w:szCs w:val="24"/>
        </w:rPr>
        <w:t xml:space="preserve">) </w:t>
      </w:r>
      <w:r w:rsidR="00B403B1" w:rsidRPr="00C000A1">
        <w:rPr>
          <w:rFonts w:asciiTheme="majorHAnsi" w:hAnsiTheme="majorHAnsi" w:cstheme="majorHAnsi"/>
          <w:sz w:val="24"/>
          <w:szCs w:val="24"/>
        </w:rPr>
        <w:t xml:space="preserve">VEDADA a participação de consórcios, com base na seguinte </w:t>
      </w:r>
      <w:r w:rsidR="00B403B1" w:rsidRPr="00C000A1">
        <w:rPr>
          <w:rFonts w:asciiTheme="majorHAnsi" w:hAnsiTheme="majorHAnsi" w:cstheme="majorHAnsi"/>
          <w:b/>
          <w:bCs/>
          <w:sz w:val="24"/>
          <w:szCs w:val="24"/>
        </w:rPr>
        <w:t>justificativa</w:t>
      </w:r>
      <w:r w:rsidR="00B403B1" w:rsidRPr="00C000A1">
        <w:rPr>
          <w:rFonts w:asciiTheme="majorHAnsi" w:hAnsiTheme="majorHAnsi" w:cstheme="majorHAnsi"/>
          <w:sz w:val="24"/>
          <w:szCs w:val="24"/>
        </w:rPr>
        <w:t>:</w:t>
      </w:r>
    </w:p>
    <w:p w14:paraId="0B161AD0" w14:textId="48D1EDF3" w:rsidR="00432724" w:rsidRPr="00B02415" w:rsidRDefault="00B02415" w:rsidP="00C000A1">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VEDADA, POR SE TRATAR DE OBJETO DE PEQUENO VULTO FINANCEIRO E BAIXA COMPLEXIDADE.</w:t>
      </w:r>
    </w:p>
    <w:p w14:paraId="2930D310" w14:textId="46EA9B86" w:rsidR="00B403B1" w:rsidRDefault="001E704A" w:rsidP="00C000A1">
      <w:pPr>
        <w:pStyle w:val="TextoAGU"/>
        <w:numPr>
          <w:ilvl w:val="0"/>
          <w:numId w:val="0"/>
        </w:numPr>
        <w:tabs>
          <w:tab w:val="clear" w:pos="1418"/>
        </w:tabs>
        <w:spacing w:before="0" w:after="360"/>
        <w:rPr>
          <w:rStyle w:val="Hyperlink"/>
          <w:rFonts w:asciiTheme="majorHAnsi" w:hAnsiTheme="majorHAnsi" w:cstheme="majorHAnsi"/>
          <w:sz w:val="24"/>
          <w:szCs w:val="24"/>
        </w:rPr>
      </w:pPr>
      <w:hyperlink w:anchor="nt_18" w:history="1">
        <w:r w:rsidR="00B403B1" w:rsidRPr="00561435">
          <w:rPr>
            <w:rStyle w:val="Hyperlink"/>
            <w:rFonts w:asciiTheme="majorHAnsi" w:hAnsiTheme="majorHAnsi" w:cstheme="majorHAnsi"/>
            <w:sz w:val="24"/>
            <w:szCs w:val="24"/>
          </w:rPr>
          <w:t xml:space="preserve">Vide </w:t>
        </w:r>
        <w:r w:rsidR="004E0CBC" w:rsidRPr="00561435">
          <w:rPr>
            <w:rStyle w:val="Hyperlink"/>
            <w:rFonts w:asciiTheme="majorHAnsi" w:hAnsiTheme="majorHAnsi" w:cstheme="majorHAnsi"/>
            <w:sz w:val="24"/>
            <w:szCs w:val="24"/>
          </w:rPr>
          <w:t xml:space="preserve">Nota Explicativa n. </w:t>
        </w:r>
        <w:r w:rsidR="00561435" w:rsidRPr="00561435">
          <w:rPr>
            <w:rStyle w:val="Hyperlink"/>
            <w:rFonts w:asciiTheme="majorHAnsi" w:hAnsiTheme="majorHAnsi" w:cstheme="majorHAnsi"/>
            <w:sz w:val="24"/>
            <w:szCs w:val="24"/>
          </w:rPr>
          <w:t>18</w:t>
        </w:r>
        <w:r w:rsidR="004E0CBC" w:rsidRPr="00561435">
          <w:rPr>
            <w:rStyle w:val="Hyperlink"/>
            <w:rFonts w:asciiTheme="majorHAnsi" w:hAnsiTheme="majorHAnsi" w:cstheme="majorHAnsi"/>
            <w:sz w:val="24"/>
            <w:szCs w:val="24"/>
          </w:rPr>
          <w:t>.</w:t>
        </w:r>
      </w:hyperlink>
    </w:p>
    <w:p w14:paraId="315D4EAE" w14:textId="77777777" w:rsidR="00403158" w:rsidRDefault="00403158"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511DE886" w14:textId="74631C78" w:rsidR="00B403B1" w:rsidRPr="003173B6" w:rsidRDefault="006014BF" w:rsidP="00533725">
      <w:pPr>
        <w:pStyle w:val="TJTRSubTT"/>
        <w:shd w:val="clear" w:color="auto" w:fill="D9D9D9" w:themeFill="background1" w:themeFillShade="D9"/>
        <w:spacing w:before="0" w:after="360"/>
        <w:ind w:left="0" w:firstLine="0"/>
        <w:rPr>
          <w:rFonts w:cstheme="majorHAnsi"/>
          <w:szCs w:val="24"/>
        </w:rPr>
      </w:pPr>
      <w:bookmarkStart w:id="45" w:name="_Toc142556202"/>
      <w:bookmarkStart w:id="46" w:name="nt_19_retorno"/>
      <w:r w:rsidRPr="003173B6">
        <w:rPr>
          <w:rFonts w:cstheme="majorHAnsi"/>
          <w:caps w:val="0"/>
          <w:szCs w:val="24"/>
        </w:rPr>
        <w:lastRenderedPageBreak/>
        <w:t>PARTICIPAÇÃO DE COOPERATIVAS</w:t>
      </w:r>
      <w:bookmarkEnd w:id="45"/>
    </w:p>
    <w:bookmarkEnd w:id="46"/>
    <w:p w14:paraId="036E431C" w14:textId="77777777" w:rsidR="00B403B1" w:rsidRPr="003173B6" w:rsidRDefault="00B403B1" w:rsidP="00C000A1">
      <w:pPr>
        <w:pStyle w:val="Normal-TJTR"/>
        <w:spacing w:after="360"/>
        <w:rPr>
          <w:rFonts w:asciiTheme="majorHAnsi" w:hAnsiTheme="majorHAnsi" w:cstheme="majorHAnsi"/>
          <w:sz w:val="24"/>
          <w:szCs w:val="24"/>
        </w:rPr>
      </w:pPr>
      <w:r w:rsidRPr="003173B6">
        <w:rPr>
          <w:rFonts w:asciiTheme="majorHAnsi" w:hAnsiTheme="majorHAnsi" w:cstheme="majorHAnsi"/>
          <w:sz w:val="24"/>
          <w:szCs w:val="24"/>
        </w:rPr>
        <w:t xml:space="preserve">Na presente licitação, será </w:t>
      </w:r>
      <w:proofErr w:type="gramStart"/>
      <w:r w:rsidRPr="003173B6">
        <w:rPr>
          <w:rFonts w:asciiTheme="majorHAnsi" w:hAnsiTheme="majorHAnsi" w:cstheme="majorHAnsi"/>
          <w:sz w:val="24"/>
          <w:szCs w:val="24"/>
        </w:rPr>
        <w:t xml:space="preserve">(  </w:t>
      </w:r>
      <w:proofErr w:type="gramEnd"/>
      <w:r w:rsidRPr="003173B6">
        <w:rPr>
          <w:rFonts w:asciiTheme="majorHAnsi" w:hAnsiTheme="majorHAnsi" w:cstheme="majorHAnsi"/>
          <w:sz w:val="24"/>
          <w:szCs w:val="24"/>
        </w:rPr>
        <w:t xml:space="preserve"> ) VEDADA ou (   ) PERMITIDA a participação de cooperativas, com base na seguinte </w:t>
      </w:r>
      <w:r w:rsidRPr="003173B6">
        <w:rPr>
          <w:rFonts w:asciiTheme="majorHAnsi" w:hAnsiTheme="majorHAnsi" w:cstheme="majorHAnsi"/>
          <w:b/>
          <w:bCs/>
          <w:sz w:val="24"/>
          <w:szCs w:val="24"/>
        </w:rPr>
        <w:t>justificativa</w:t>
      </w:r>
      <w:r w:rsidRPr="003173B6">
        <w:rPr>
          <w:rFonts w:asciiTheme="majorHAnsi" w:hAnsiTheme="majorHAnsi" w:cstheme="majorHAnsi"/>
          <w:sz w:val="24"/>
          <w:szCs w:val="24"/>
        </w:rPr>
        <w:t>:</w:t>
      </w:r>
    </w:p>
    <w:p w14:paraId="38114843" w14:textId="2F34DE11" w:rsidR="00B403B1" w:rsidRPr="003173B6" w:rsidRDefault="00A377AE" w:rsidP="00C000A1">
      <w:pPr>
        <w:pStyle w:val="TextoAGU"/>
        <w:numPr>
          <w:ilvl w:val="0"/>
          <w:numId w:val="0"/>
        </w:numPr>
        <w:tabs>
          <w:tab w:val="clear" w:pos="1418"/>
        </w:tabs>
        <w:spacing w:before="0" w:after="360"/>
        <w:rPr>
          <w:rFonts w:asciiTheme="majorHAnsi" w:hAnsiTheme="majorHAnsi" w:cstheme="majorHAnsi"/>
          <w:b/>
          <w:bCs/>
          <w:color w:val="FF0000"/>
          <w:sz w:val="24"/>
          <w:szCs w:val="24"/>
          <w:u w:val="single"/>
          <w:lang w:eastAsia="pt-BR"/>
        </w:rPr>
      </w:pPr>
      <w:r w:rsidRPr="003173B6">
        <w:rPr>
          <w:rFonts w:asciiTheme="majorHAnsi" w:hAnsiTheme="majorHAnsi" w:cstheme="majorHAnsi"/>
          <w:b/>
          <w:bCs/>
          <w:sz w:val="24"/>
          <w:szCs w:val="24"/>
          <w:u w:val="single"/>
          <w:lang w:eastAsia="pt-BR"/>
        </w:rPr>
        <w:t>PELO MODO COMO É USUALMENTE EXECUTADO NO MERCADO EM GERAL, O OBJETO IMPLICA EM SUBORDINAÇÃO JURÍDICA DA EMPRESA CONTRATADA E DOS RESPECTIVOS TRABALHADORES</w:t>
      </w:r>
      <w:r w:rsidR="003173B6" w:rsidRPr="003173B6">
        <w:rPr>
          <w:rFonts w:asciiTheme="majorHAnsi" w:hAnsiTheme="majorHAnsi" w:cstheme="majorHAnsi"/>
          <w:b/>
          <w:bCs/>
          <w:sz w:val="24"/>
          <w:szCs w:val="24"/>
          <w:u w:val="single"/>
          <w:lang w:eastAsia="pt-BR"/>
        </w:rPr>
        <w:t>, PORTANTO, IMPOSSIBILITANDO A PARTICIPAÇÃO DE COOPERATIVAS.</w:t>
      </w:r>
    </w:p>
    <w:p w14:paraId="59F522FF" w14:textId="693FE510" w:rsidR="0554D60B" w:rsidRDefault="001E704A" w:rsidP="00705638">
      <w:pPr>
        <w:pStyle w:val="TextoAGU"/>
        <w:numPr>
          <w:ilvl w:val="0"/>
          <w:numId w:val="0"/>
        </w:numPr>
        <w:spacing w:before="0" w:after="360"/>
        <w:rPr>
          <w:rFonts w:asciiTheme="majorHAnsi" w:hAnsiTheme="majorHAnsi" w:cstheme="majorHAnsi"/>
          <w:color w:val="0000FF"/>
          <w:sz w:val="24"/>
          <w:szCs w:val="24"/>
        </w:rPr>
      </w:pPr>
      <w:hyperlink w:anchor="nt_19" w:history="1">
        <w:r w:rsidR="00705638" w:rsidRPr="00561435">
          <w:rPr>
            <w:rStyle w:val="Hyperlink"/>
            <w:rFonts w:asciiTheme="majorHAnsi" w:hAnsiTheme="majorHAnsi" w:cstheme="majorHAnsi"/>
            <w:sz w:val="24"/>
            <w:szCs w:val="24"/>
          </w:rPr>
          <w:t xml:space="preserve">Vide Nota Explicativa n. </w:t>
        </w:r>
        <w:r w:rsidR="00561435" w:rsidRPr="00561435">
          <w:rPr>
            <w:rStyle w:val="Hyperlink"/>
            <w:rFonts w:asciiTheme="majorHAnsi" w:hAnsiTheme="majorHAnsi" w:cstheme="majorHAnsi"/>
            <w:sz w:val="24"/>
            <w:szCs w:val="24"/>
          </w:rPr>
          <w:t>19</w:t>
        </w:r>
        <w:r w:rsidR="00705638" w:rsidRPr="00561435">
          <w:rPr>
            <w:rStyle w:val="Hyperlink"/>
            <w:rFonts w:asciiTheme="majorHAnsi" w:hAnsiTheme="majorHAnsi" w:cstheme="majorHAnsi"/>
            <w:sz w:val="24"/>
            <w:szCs w:val="24"/>
          </w:rPr>
          <w:t>.</w:t>
        </w:r>
      </w:hyperlink>
    </w:p>
    <w:p w14:paraId="6B5E36F1" w14:textId="77777777" w:rsidR="00EA7D82" w:rsidRPr="00C000A1" w:rsidRDefault="00EA7D82" w:rsidP="00EA7D82">
      <w:pPr>
        <w:pStyle w:val="TextoAGU"/>
        <w:numPr>
          <w:ilvl w:val="0"/>
          <w:numId w:val="0"/>
        </w:numPr>
        <w:tabs>
          <w:tab w:val="clear" w:pos="1418"/>
        </w:tabs>
        <w:spacing w:before="0" w:after="360"/>
        <w:rPr>
          <w:rFonts w:asciiTheme="majorHAnsi" w:hAnsiTheme="majorHAnsi" w:cstheme="majorHAnsi"/>
          <w:color w:val="0000FF"/>
          <w:sz w:val="24"/>
          <w:szCs w:val="24"/>
        </w:rPr>
      </w:pPr>
    </w:p>
    <w:p w14:paraId="51560081" w14:textId="4E5F03A3" w:rsidR="00EA7D82" w:rsidRDefault="006014BF" w:rsidP="00533725">
      <w:pPr>
        <w:pStyle w:val="TJTRSubTT"/>
        <w:shd w:val="clear" w:color="auto" w:fill="D9D9D9" w:themeFill="background1" w:themeFillShade="D9"/>
        <w:spacing w:before="0" w:after="360"/>
        <w:ind w:left="0" w:firstLine="0"/>
        <w:rPr>
          <w:rFonts w:cstheme="majorHAnsi"/>
          <w:szCs w:val="24"/>
        </w:rPr>
      </w:pPr>
      <w:bookmarkStart w:id="47" w:name="_Toc142556203"/>
      <w:bookmarkStart w:id="48" w:name="nt_20_retorno"/>
      <w:r>
        <w:rPr>
          <w:rFonts w:cstheme="majorHAnsi"/>
          <w:caps w:val="0"/>
          <w:szCs w:val="24"/>
        </w:rPr>
        <w:t>GARANTIA DA EXECUÇÃO</w:t>
      </w:r>
      <w:bookmarkEnd w:id="47"/>
    </w:p>
    <w:bookmarkEnd w:id="48"/>
    <w:p w14:paraId="239C4004" w14:textId="7B2B6C23" w:rsidR="00B403B1" w:rsidRPr="000B0CEF" w:rsidRDefault="44016E22" w:rsidP="000B0CEF">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 xml:space="preserve">Na presente licitação, será </w:t>
      </w:r>
      <w:proofErr w:type="gramStart"/>
      <w:r w:rsidRPr="00B105EE">
        <w:rPr>
          <w:rFonts w:asciiTheme="majorHAnsi" w:hAnsiTheme="majorHAnsi" w:cstheme="majorHAnsi"/>
          <w:sz w:val="24"/>
          <w:szCs w:val="24"/>
        </w:rPr>
        <w:t>(</w:t>
      </w:r>
      <w:r w:rsidR="00975E00">
        <w:rPr>
          <w:rFonts w:asciiTheme="majorHAnsi" w:hAnsiTheme="majorHAnsi" w:cstheme="majorHAnsi"/>
          <w:sz w:val="24"/>
          <w:szCs w:val="24"/>
        </w:rPr>
        <w:t xml:space="preserve"> </w:t>
      </w:r>
      <w:r w:rsidR="00975E00">
        <w:rPr>
          <w:rFonts w:asciiTheme="majorHAnsi" w:hAnsiTheme="majorHAnsi" w:cstheme="majorHAnsi"/>
          <w:b/>
          <w:bCs/>
          <w:sz w:val="24"/>
          <w:szCs w:val="24"/>
          <w:u w:val="single"/>
        </w:rPr>
        <w:t>X</w:t>
      </w:r>
      <w:proofErr w:type="gramEnd"/>
      <w:r w:rsidR="00975E00">
        <w:rPr>
          <w:rFonts w:asciiTheme="majorHAnsi" w:hAnsiTheme="majorHAnsi" w:cstheme="majorHAnsi"/>
          <w:sz w:val="24"/>
          <w:szCs w:val="24"/>
        </w:rPr>
        <w:t xml:space="preserve"> </w:t>
      </w:r>
      <w:r w:rsidRPr="00B105EE">
        <w:rPr>
          <w:rFonts w:asciiTheme="majorHAnsi" w:hAnsiTheme="majorHAnsi" w:cstheme="majorHAnsi"/>
          <w:sz w:val="24"/>
          <w:szCs w:val="24"/>
        </w:rPr>
        <w:t>) EXIGIDA ou (</w:t>
      </w:r>
      <w:r w:rsidR="00975E00">
        <w:rPr>
          <w:rFonts w:asciiTheme="majorHAnsi" w:hAnsiTheme="majorHAnsi" w:cstheme="majorHAnsi"/>
          <w:sz w:val="24"/>
          <w:szCs w:val="24"/>
        </w:rPr>
        <w:t xml:space="preserve">   </w:t>
      </w:r>
      <w:r w:rsidRPr="00B105EE">
        <w:rPr>
          <w:rFonts w:asciiTheme="majorHAnsi" w:hAnsiTheme="majorHAnsi" w:cstheme="majorHAnsi"/>
          <w:sz w:val="24"/>
          <w:szCs w:val="24"/>
        </w:rPr>
        <w:t xml:space="preserve">) DISPENSADA a apresentação de garantia de execução contratual, com base na seguinte </w:t>
      </w:r>
      <w:r w:rsidRPr="00533725">
        <w:rPr>
          <w:rFonts w:asciiTheme="majorHAnsi" w:hAnsiTheme="majorHAnsi" w:cstheme="majorHAnsi"/>
          <w:b/>
          <w:bCs/>
          <w:sz w:val="24"/>
          <w:szCs w:val="24"/>
        </w:rPr>
        <w:t>justificativa</w:t>
      </w:r>
      <w:r w:rsidRPr="00B105EE">
        <w:rPr>
          <w:rFonts w:asciiTheme="majorHAnsi" w:hAnsiTheme="majorHAnsi" w:cstheme="majorHAnsi"/>
          <w:sz w:val="24"/>
          <w:szCs w:val="24"/>
        </w:rPr>
        <w:t>:</w:t>
      </w:r>
    </w:p>
    <w:p w14:paraId="694C21D2" w14:textId="1423647E" w:rsidR="00B403B1" w:rsidRPr="00923310" w:rsidRDefault="00923310" w:rsidP="000B0CEF">
      <w:pPr>
        <w:pStyle w:val="Normal-TJTR"/>
        <w:spacing w:after="360"/>
        <w:rPr>
          <w:rFonts w:asciiTheme="majorHAnsi" w:hAnsiTheme="majorHAnsi" w:cstheme="majorHAnsi"/>
          <w:b/>
          <w:bCs/>
          <w:sz w:val="24"/>
          <w:szCs w:val="24"/>
          <w:u w:val="single"/>
        </w:rPr>
      </w:pPr>
      <w:r>
        <w:rPr>
          <w:rFonts w:asciiTheme="majorHAnsi" w:hAnsiTheme="majorHAnsi" w:cstheme="majorHAnsi"/>
          <w:b/>
          <w:bCs/>
          <w:sz w:val="24"/>
          <w:szCs w:val="24"/>
          <w:u w:val="single"/>
        </w:rPr>
        <w:t>EXIGÊNCIA DE 5% DO VALOR CONTRATUAL.</w:t>
      </w:r>
    </w:p>
    <w:p w14:paraId="5373B8FC" w14:textId="2F220DE1" w:rsidR="00071797" w:rsidRPr="008E0428" w:rsidRDefault="001E704A" w:rsidP="00C000A1">
      <w:pPr>
        <w:pStyle w:val="TextoAGU"/>
        <w:numPr>
          <w:ilvl w:val="0"/>
          <w:numId w:val="0"/>
        </w:numPr>
        <w:tabs>
          <w:tab w:val="clear" w:pos="1418"/>
        </w:tabs>
        <w:spacing w:before="0" w:after="360"/>
        <w:rPr>
          <w:rFonts w:asciiTheme="majorHAnsi" w:hAnsiTheme="majorHAnsi" w:cstheme="majorHAnsi"/>
          <w:sz w:val="24"/>
          <w:szCs w:val="24"/>
          <w:lang w:eastAsia="pt-BR"/>
        </w:rPr>
      </w:pPr>
      <w:hyperlink w:anchor="nt_20" w:history="1">
        <w:r w:rsidR="00892EDE" w:rsidRPr="005C304D">
          <w:rPr>
            <w:rStyle w:val="Hyperlink"/>
            <w:rFonts w:asciiTheme="majorHAnsi" w:hAnsiTheme="majorHAnsi" w:cstheme="majorHAnsi"/>
            <w:sz w:val="24"/>
            <w:szCs w:val="24"/>
            <w:lang w:eastAsia="pt-BR"/>
          </w:rPr>
          <w:t>Vide Nota Explicativa n. 2</w:t>
        </w:r>
        <w:r w:rsidR="005C304D" w:rsidRPr="005C304D">
          <w:rPr>
            <w:rStyle w:val="Hyperlink"/>
            <w:rFonts w:asciiTheme="majorHAnsi" w:hAnsiTheme="majorHAnsi" w:cstheme="majorHAnsi"/>
            <w:sz w:val="24"/>
            <w:szCs w:val="24"/>
            <w:lang w:eastAsia="pt-BR"/>
          </w:rPr>
          <w:t>0</w:t>
        </w:r>
        <w:r w:rsidR="00892EDE" w:rsidRPr="005C304D">
          <w:rPr>
            <w:rStyle w:val="Hyperlink"/>
            <w:rFonts w:asciiTheme="majorHAnsi" w:hAnsiTheme="majorHAnsi" w:cstheme="majorHAnsi"/>
            <w:sz w:val="24"/>
            <w:szCs w:val="24"/>
            <w:lang w:eastAsia="pt-BR"/>
          </w:rPr>
          <w:t>.</w:t>
        </w:r>
      </w:hyperlink>
    </w:p>
    <w:p w14:paraId="5502E2F5" w14:textId="77777777" w:rsidR="00914339" w:rsidRDefault="00914339" w:rsidP="00914339">
      <w:pPr>
        <w:pStyle w:val="TextoAGU"/>
        <w:numPr>
          <w:ilvl w:val="0"/>
          <w:numId w:val="0"/>
        </w:numPr>
        <w:tabs>
          <w:tab w:val="clear" w:pos="1418"/>
        </w:tabs>
        <w:spacing w:before="0" w:after="360"/>
        <w:rPr>
          <w:rFonts w:asciiTheme="majorHAnsi" w:hAnsiTheme="majorHAnsi" w:cstheme="majorHAnsi"/>
          <w:sz w:val="22"/>
          <w:szCs w:val="22"/>
          <w:lang w:eastAsia="pt-BR"/>
        </w:rPr>
      </w:pPr>
    </w:p>
    <w:p w14:paraId="453DD171" w14:textId="1C02025C" w:rsidR="00914339" w:rsidRPr="007251D7" w:rsidRDefault="00914339" w:rsidP="007251D7">
      <w:pPr>
        <w:pStyle w:val="TJTRSubTT"/>
        <w:shd w:val="clear" w:color="auto" w:fill="D9D9D9" w:themeFill="background1" w:themeFillShade="D9"/>
        <w:spacing w:before="0" w:after="360"/>
        <w:ind w:left="0" w:firstLine="0"/>
        <w:rPr>
          <w:rFonts w:cstheme="majorHAnsi"/>
          <w:caps w:val="0"/>
          <w:szCs w:val="24"/>
        </w:rPr>
      </w:pPr>
      <w:bookmarkStart w:id="49" w:name="_Toc142556204"/>
      <w:bookmarkStart w:id="50" w:name="nt_21_retorno"/>
      <w:r w:rsidRPr="007251D7">
        <w:rPr>
          <w:rFonts w:cstheme="majorHAnsi"/>
          <w:caps w:val="0"/>
          <w:szCs w:val="24"/>
        </w:rPr>
        <w:t>DA SUSTENTABILIDADE</w:t>
      </w:r>
      <w:bookmarkEnd w:id="49"/>
    </w:p>
    <w:bookmarkEnd w:id="50"/>
    <w:p w14:paraId="65C554D8" w14:textId="53CEB4D5" w:rsidR="000471E5" w:rsidRPr="000471E5" w:rsidRDefault="000471E5" w:rsidP="000471E5">
      <w:pPr>
        <w:pStyle w:val="Normal-TJTR"/>
        <w:spacing w:after="360"/>
        <w:rPr>
          <w:rFonts w:asciiTheme="majorHAnsi" w:hAnsiTheme="majorHAnsi" w:cstheme="majorHAnsi"/>
          <w:sz w:val="24"/>
          <w:szCs w:val="24"/>
        </w:rPr>
      </w:pPr>
      <w:r>
        <w:rPr>
          <w:rFonts w:asciiTheme="majorHAnsi" w:hAnsiTheme="majorHAnsi" w:cstheme="majorHAnsi"/>
          <w:sz w:val="24"/>
          <w:szCs w:val="24"/>
        </w:rPr>
        <w:t>N</w:t>
      </w:r>
      <w:r w:rsidRPr="000471E5">
        <w:rPr>
          <w:rFonts w:asciiTheme="majorHAnsi" w:hAnsiTheme="majorHAnsi" w:cstheme="majorHAnsi"/>
          <w:sz w:val="24"/>
          <w:szCs w:val="24"/>
        </w:rPr>
        <w:t xml:space="preserve">o tocante à promoção do Desenvolvimento Nacional Sustentável previsto nos </w:t>
      </w:r>
      <w:proofErr w:type="spellStart"/>
      <w:r w:rsidRPr="000471E5">
        <w:rPr>
          <w:rFonts w:asciiTheme="majorHAnsi" w:hAnsiTheme="majorHAnsi" w:cstheme="majorHAnsi"/>
          <w:sz w:val="24"/>
          <w:szCs w:val="24"/>
        </w:rPr>
        <w:t>arts</w:t>
      </w:r>
      <w:proofErr w:type="spellEnd"/>
      <w:r w:rsidRPr="000471E5">
        <w:rPr>
          <w:rFonts w:asciiTheme="majorHAnsi" w:hAnsiTheme="majorHAnsi" w:cstheme="majorHAnsi"/>
          <w:sz w:val="24"/>
          <w:szCs w:val="24"/>
        </w:rPr>
        <w:t xml:space="preserve">. 5º, e 11, IV, da Lei n. 14.133, de 2021, </w:t>
      </w:r>
      <w:r w:rsidR="00010F33">
        <w:rPr>
          <w:rFonts w:asciiTheme="majorHAnsi" w:hAnsiTheme="majorHAnsi" w:cstheme="majorHAnsi"/>
          <w:sz w:val="24"/>
          <w:szCs w:val="24"/>
        </w:rPr>
        <w:t xml:space="preserve">nesta licitação </w:t>
      </w:r>
      <w:r w:rsidRPr="000471E5">
        <w:rPr>
          <w:rFonts w:asciiTheme="majorHAnsi" w:hAnsiTheme="majorHAnsi" w:cstheme="majorHAnsi"/>
          <w:sz w:val="24"/>
          <w:szCs w:val="24"/>
        </w:rPr>
        <w:t>o tom</w:t>
      </w:r>
      <w:r w:rsidR="008E1760">
        <w:rPr>
          <w:rFonts w:asciiTheme="majorHAnsi" w:hAnsiTheme="majorHAnsi" w:cstheme="majorHAnsi"/>
          <w:sz w:val="24"/>
          <w:szCs w:val="24"/>
        </w:rPr>
        <w:t>ou</w:t>
      </w:r>
      <w:r w:rsidRPr="000471E5">
        <w:rPr>
          <w:rFonts w:asciiTheme="majorHAnsi" w:hAnsiTheme="majorHAnsi" w:cstheme="majorHAnsi"/>
          <w:sz w:val="24"/>
          <w:szCs w:val="24"/>
        </w:rPr>
        <w:t xml:space="preserve"> as seguintes medidas quando do planejamento de obras e serviços de engenharia:</w:t>
      </w:r>
    </w:p>
    <w:p w14:paraId="5E54C8E5" w14:textId="570B79E7" w:rsidR="000471E5" w:rsidRPr="000471E5" w:rsidRDefault="008E1760" w:rsidP="000471E5">
      <w:pPr>
        <w:pStyle w:val="Normal-TJTR"/>
        <w:spacing w:after="360"/>
        <w:rPr>
          <w:rFonts w:asciiTheme="majorHAnsi" w:hAnsiTheme="majorHAnsi" w:cstheme="majorHAnsi"/>
          <w:sz w:val="24"/>
          <w:szCs w:val="24"/>
        </w:rPr>
      </w:pPr>
      <w:proofErr w:type="gramStart"/>
      <w:r>
        <w:rPr>
          <w:rFonts w:asciiTheme="majorHAnsi" w:hAnsiTheme="majorHAnsi" w:cstheme="majorHAnsi"/>
          <w:sz w:val="24"/>
          <w:szCs w:val="24"/>
        </w:rPr>
        <w:t>(</w:t>
      </w:r>
      <w:r w:rsidR="00923310">
        <w:rPr>
          <w:rFonts w:asciiTheme="majorHAnsi" w:hAnsiTheme="majorHAnsi" w:cstheme="majorHAnsi"/>
          <w:sz w:val="24"/>
          <w:szCs w:val="24"/>
        </w:rPr>
        <w:t xml:space="preserve"> </w:t>
      </w:r>
      <w:r w:rsidR="00923310">
        <w:rPr>
          <w:rFonts w:asciiTheme="majorHAnsi" w:hAnsiTheme="majorHAnsi" w:cstheme="majorHAnsi"/>
          <w:b/>
          <w:bCs/>
          <w:sz w:val="24"/>
          <w:szCs w:val="24"/>
          <w:u w:val="single"/>
        </w:rPr>
        <w:t>X</w:t>
      </w:r>
      <w:proofErr w:type="gramEnd"/>
      <w:r w:rsidR="00923310">
        <w:rPr>
          <w:rFonts w:asciiTheme="majorHAnsi" w:hAnsiTheme="majorHAnsi" w:cstheme="majorHAnsi"/>
          <w:sz w:val="24"/>
          <w:szCs w:val="24"/>
        </w:rPr>
        <w:t xml:space="preserve"> </w:t>
      </w:r>
      <w:r w:rsidR="000471E5" w:rsidRPr="000471E5">
        <w:rPr>
          <w:rFonts w:asciiTheme="majorHAnsi" w:hAnsiTheme="majorHAnsi" w:cstheme="majorHAnsi"/>
          <w:sz w:val="24"/>
          <w:szCs w:val="24"/>
        </w:rPr>
        <w:t>) defini</w:t>
      </w:r>
      <w:r>
        <w:rPr>
          <w:rFonts w:asciiTheme="majorHAnsi" w:hAnsiTheme="majorHAnsi" w:cstheme="majorHAnsi"/>
          <w:sz w:val="24"/>
          <w:szCs w:val="24"/>
        </w:rPr>
        <w:t>u</w:t>
      </w:r>
      <w:r w:rsidR="000471E5" w:rsidRPr="000471E5">
        <w:rPr>
          <w:rFonts w:asciiTheme="majorHAnsi" w:hAnsiTheme="majorHAnsi" w:cstheme="majorHAnsi"/>
          <w:sz w:val="24"/>
          <w:szCs w:val="24"/>
        </w:rPr>
        <w:t xml:space="preserve"> os critérios e práticas sustentáveis, objetivamente e em adequação ao objeto da contratação pretendida, como especificação técnica do objeto, obrigação da contratada, e/ou requisito de habilitação/qualificação previsto em lei especial  </w:t>
      </w:r>
    </w:p>
    <w:p w14:paraId="75ABDEA4" w14:textId="6CB4906C" w:rsidR="000471E5" w:rsidRPr="000471E5" w:rsidRDefault="00923310" w:rsidP="000471E5">
      <w:pPr>
        <w:pStyle w:val="Normal-TJTR"/>
        <w:spacing w:after="360"/>
        <w:rPr>
          <w:rFonts w:asciiTheme="majorHAnsi" w:hAnsiTheme="majorHAnsi" w:cstheme="majorHAnsi"/>
          <w:sz w:val="24"/>
          <w:szCs w:val="24"/>
        </w:rPr>
      </w:pPr>
      <w:proofErr w:type="gramStart"/>
      <w:r>
        <w:rPr>
          <w:rFonts w:asciiTheme="majorHAnsi" w:hAnsiTheme="majorHAnsi" w:cstheme="majorHAnsi"/>
          <w:sz w:val="24"/>
          <w:szCs w:val="24"/>
        </w:rPr>
        <w:t xml:space="preserve">( </w:t>
      </w:r>
      <w:r>
        <w:rPr>
          <w:rFonts w:asciiTheme="majorHAnsi" w:hAnsiTheme="majorHAnsi" w:cstheme="majorHAnsi"/>
          <w:b/>
          <w:bCs/>
          <w:sz w:val="24"/>
          <w:szCs w:val="24"/>
          <w:u w:val="single"/>
        </w:rPr>
        <w:t>X</w:t>
      </w:r>
      <w:proofErr w:type="gramEnd"/>
      <w:r>
        <w:rPr>
          <w:rFonts w:asciiTheme="majorHAnsi" w:hAnsiTheme="majorHAnsi" w:cstheme="majorHAnsi"/>
          <w:sz w:val="24"/>
          <w:szCs w:val="24"/>
        </w:rPr>
        <w:t xml:space="preserve"> </w:t>
      </w:r>
      <w:r w:rsidRPr="000471E5">
        <w:rPr>
          <w:rFonts w:asciiTheme="majorHAnsi" w:hAnsiTheme="majorHAnsi" w:cstheme="majorHAnsi"/>
          <w:sz w:val="24"/>
          <w:szCs w:val="24"/>
        </w:rPr>
        <w:t xml:space="preserve">) </w:t>
      </w:r>
      <w:r w:rsidR="000471E5" w:rsidRPr="000471E5">
        <w:rPr>
          <w:rFonts w:asciiTheme="majorHAnsi" w:hAnsiTheme="majorHAnsi" w:cstheme="majorHAnsi"/>
          <w:sz w:val="24"/>
          <w:szCs w:val="24"/>
        </w:rPr>
        <w:t>verific</w:t>
      </w:r>
      <w:r w:rsidR="008E1760">
        <w:rPr>
          <w:rFonts w:asciiTheme="majorHAnsi" w:hAnsiTheme="majorHAnsi" w:cstheme="majorHAnsi"/>
          <w:sz w:val="24"/>
          <w:szCs w:val="24"/>
        </w:rPr>
        <w:t>ou</w:t>
      </w:r>
      <w:r w:rsidR="000471E5" w:rsidRPr="000471E5">
        <w:rPr>
          <w:rFonts w:asciiTheme="majorHAnsi" w:hAnsiTheme="majorHAnsi" w:cstheme="majorHAnsi"/>
          <w:sz w:val="24"/>
          <w:szCs w:val="24"/>
        </w:rPr>
        <w:t xml:space="preserve"> se os critérios e práticas sustentáveis especificados preservam o caráter competitivo do certame;</w:t>
      </w:r>
    </w:p>
    <w:p w14:paraId="5D893788" w14:textId="5D011479" w:rsidR="000471E5" w:rsidRPr="000471E5" w:rsidRDefault="00923310" w:rsidP="000471E5">
      <w:pPr>
        <w:pStyle w:val="Normal-TJTR"/>
        <w:spacing w:after="360"/>
        <w:rPr>
          <w:rFonts w:asciiTheme="majorHAnsi" w:hAnsiTheme="majorHAnsi" w:cstheme="majorHAnsi"/>
          <w:sz w:val="24"/>
          <w:szCs w:val="24"/>
        </w:rPr>
      </w:pPr>
      <w:proofErr w:type="gramStart"/>
      <w:r>
        <w:rPr>
          <w:rFonts w:asciiTheme="majorHAnsi" w:hAnsiTheme="majorHAnsi" w:cstheme="majorHAnsi"/>
          <w:sz w:val="24"/>
          <w:szCs w:val="24"/>
        </w:rPr>
        <w:t xml:space="preserve">( </w:t>
      </w:r>
      <w:r>
        <w:rPr>
          <w:rFonts w:asciiTheme="majorHAnsi" w:hAnsiTheme="majorHAnsi" w:cstheme="majorHAnsi"/>
          <w:b/>
          <w:bCs/>
          <w:sz w:val="24"/>
          <w:szCs w:val="24"/>
          <w:u w:val="single"/>
        </w:rPr>
        <w:t>X</w:t>
      </w:r>
      <w:proofErr w:type="gramEnd"/>
      <w:r>
        <w:rPr>
          <w:rFonts w:asciiTheme="majorHAnsi" w:hAnsiTheme="majorHAnsi" w:cstheme="majorHAnsi"/>
          <w:sz w:val="24"/>
          <w:szCs w:val="24"/>
        </w:rPr>
        <w:t xml:space="preserve"> </w:t>
      </w:r>
      <w:r w:rsidRPr="000471E5">
        <w:rPr>
          <w:rFonts w:asciiTheme="majorHAnsi" w:hAnsiTheme="majorHAnsi" w:cstheme="majorHAnsi"/>
          <w:sz w:val="24"/>
          <w:szCs w:val="24"/>
        </w:rPr>
        <w:t xml:space="preserve">) </w:t>
      </w:r>
      <w:r w:rsidR="000471E5" w:rsidRPr="000471E5">
        <w:rPr>
          <w:rFonts w:asciiTheme="majorHAnsi" w:hAnsiTheme="majorHAnsi" w:cstheme="majorHAnsi"/>
          <w:sz w:val="24"/>
          <w:szCs w:val="24"/>
        </w:rPr>
        <w:t>verific</w:t>
      </w:r>
      <w:r w:rsidR="008E1760">
        <w:rPr>
          <w:rFonts w:asciiTheme="majorHAnsi" w:hAnsiTheme="majorHAnsi" w:cstheme="majorHAnsi"/>
          <w:sz w:val="24"/>
          <w:szCs w:val="24"/>
        </w:rPr>
        <w:t>ou</w:t>
      </w:r>
      <w:r w:rsidR="000471E5" w:rsidRPr="000471E5">
        <w:rPr>
          <w:rFonts w:asciiTheme="majorHAnsi" w:hAnsiTheme="majorHAnsi" w:cstheme="majorHAnsi"/>
          <w:sz w:val="24"/>
          <w:szCs w:val="24"/>
        </w:rPr>
        <w:t xml:space="preserve"> a incidência de normas de acessibilidade (Decreto n. 6.949, de 2009 e Lei n. 13.146, de 2015); e</w:t>
      </w:r>
    </w:p>
    <w:p w14:paraId="7F4096E3" w14:textId="44E9B0CD" w:rsidR="009E499E" w:rsidRDefault="00902A22" w:rsidP="000471E5">
      <w:pPr>
        <w:pStyle w:val="Normal-TJTR"/>
        <w:spacing w:after="360"/>
        <w:rPr>
          <w:rFonts w:asciiTheme="majorHAnsi" w:hAnsiTheme="majorHAnsi" w:cstheme="majorHAnsi"/>
          <w:sz w:val="24"/>
          <w:szCs w:val="24"/>
        </w:rPr>
      </w:pPr>
      <w:r>
        <w:rPr>
          <w:rFonts w:asciiTheme="majorHAnsi" w:hAnsiTheme="majorHAnsi" w:cstheme="majorHAnsi"/>
          <w:sz w:val="24"/>
          <w:szCs w:val="24"/>
        </w:rPr>
        <w:t xml:space="preserve">Nesta licitação, </w:t>
      </w:r>
      <w:r w:rsidR="000471E5" w:rsidRPr="000471E5">
        <w:rPr>
          <w:rFonts w:asciiTheme="majorHAnsi" w:hAnsiTheme="majorHAnsi" w:cstheme="majorHAnsi"/>
          <w:sz w:val="24"/>
          <w:szCs w:val="24"/>
        </w:rPr>
        <w:t>o órgão assessorado entende</w:t>
      </w:r>
      <w:r w:rsidR="00A109A3">
        <w:rPr>
          <w:rFonts w:asciiTheme="majorHAnsi" w:hAnsiTheme="majorHAnsi" w:cstheme="majorHAnsi"/>
          <w:sz w:val="24"/>
          <w:szCs w:val="24"/>
        </w:rPr>
        <w:t>u</w:t>
      </w:r>
      <w:r w:rsidR="000471E5" w:rsidRPr="000471E5">
        <w:rPr>
          <w:rFonts w:asciiTheme="majorHAnsi" w:hAnsiTheme="majorHAnsi" w:cstheme="majorHAnsi"/>
          <w:sz w:val="24"/>
          <w:szCs w:val="24"/>
        </w:rPr>
        <w:t xml:space="preserve"> que os serviços objeto desta contratação não se sujeitam aos critérios e práticas de sustentabilidade ou que as especificações de </w:t>
      </w:r>
      <w:r w:rsidR="000471E5" w:rsidRPr="000471E5">
        <w:rPr>
          <w:rFonts w:asciiTheme="majorHAnsi" w:hAnsiTheme="majorHAnsi" w:cstheme="majorHAnsi"/>
          <w:sz w:val="24"/>
          <w:szCs w:val="24"/>
        </w:rPr>
        <w:lastRenderedPageBreak/>
        <w:t xml:space="preserve">sustentabilidade restringem indevidamente a competição em dado mercado, </w:t>
      </w:r>
      <w:r w:rsidR="00A109A3">
        <w:rPr>
          <w:rFonts w:asciiTheme="majorHAnsi" w:hAnsiTheme="majorHAnsi" w:cstheme="majorHAnsi"/>
          <w:sz w:val="24"/>
          <w:szCs w:val="24"/>
        </w:rPr>
        <w:t xml:space="preserve">sob a seguinte </w:t>
      </w:r>
      <w:r w:rsidR="000471E5" w:rsidRPr="000471E5">
        <w:rPr>
          <w:rFonts w:asciiTheme="majorHAnsi" w:hAnsiTheme="majorHAnsi" w:cstheme="majorHAnsi"/>
          <w:sz w:val="24"/>
          <w:szCs w:val="24"/>
        </w:rPr>
        <w:t>justificativa</w:t>
      </w:r>
      <w:r w:rsidR="00A109A3">
        <w:rPr>
          <w:rFonts w:asciiTheme="majorHAnsi" w:hAnsiTheme="majorHAnsi" w:cstheme="majorHAnsi"/>
          <w:sz w:val="24"/>
          <w:szCs w:val="24"/>
        </w:rPr>
        <w:t>:</w:t>
      </w:r>
    </w:p>
    <w:p w14:paraId="490633CC" w14:textId="4194E24B" w:rsidR="007251D7" w:rsidRPr="00923310" w:rsidRDefault="00923310" w:rsidP="007251D7">
      <w:pPr>
        <w:pStyle w:val="Normal-TJTR"/>
        <w:spacing w:after="360"/>
        <w:rPr>
          <w:rFonts w:asciiTheme="majorHAnsi" w:hAnsiTheme="majorHAnsi" w:cstheme="majorHAnsi"/>
          <w:b/>
          <w:bCs/>
          <w:sz w:val="24"/>
          <w:szCs w:val="24"/>
          <w:u w:val="single"/>
        </w:rPr>
      </w:pPr>
      <w:r>
        <w:rPr>
          <w:rFonts w:asciiTheme="majorHAnsi" w:hAnsiTheme="majorHAnsi" w:cstheme="majorHAnsi"/>
          <w:b/>
          <w:bCs/>
          <w:sz w:val="24"/>
          <w:szCs w:val="24"/>
          <w:u w:val="single"/>
        </w:rPr>
        <w:t>AS PRÁTICAS DE SUSTENTABILIDADE FORAM AVALIADAS,</w:t>
      </w:r>
    </w:p>
    <w:p w14:paraId="6CAC2C14" w14:textId="079B0F36" w:rsidR="000B0CEF" w:rsidRPr="00A109A3" w:rsidRDefault="001E704A" w:rsidP="00C000A1">
      <w:pPr>
        <w:pStyle w:val="TextoAGU"/>
        <w:numPr>
          <w:ilvl w:val="0"/>
          <w:numId w:val="0"/>
        </w:numPr>
        <w:tabs>
          <w:tab w:val="clear" w:pos="1418"/>
        </w:tabs>
        <w:spacing w:before="0" w:after="360"/>
        <w:rPr>
          <w:rStyle w:val="Hyperlink"/>
          <w:sz w:val="24"/>
          <w:szCs w:val="24"/>
        </w:rPr>
      </w:pPr>
      <w:hyperlink w:anchor="nt_21" w:history="1">
        <w:r w:rsidR="00B966CC" w:rsidRPr="00687949">
          <w:rPr>
            <w:rStyle w:val="Hyperlink"/>
            <w:rFonts w:asciiTheme="majorHAnsi" w:hAnsiTheme="majorHAnsi" w:cstheme="majorHAnsi"/>
            <w:sz w:val="24"/>
            <w:szCs w:val="24"/>
            <w:lang w:eastAsia="pt-BR"/>
          </w:rPr>
          <w:t>Vide Nota Explicativa n. 2</w:t>
        </w:r>
        <w:r w:rsidR="00A109A3" w:rsidRPr="00687949">
          <w:rPr>
            <w:rStyle w:val="Hyperlink"/>
            <w:rFonts w:asciiTheme="majorHAnsi" w:hAnsiTheme="majorHAnsi" w:cstheme="majorHAnsi"/>
            <w:sz w:val="24"/>
            <w:szCs w:val="24"/>
            <w:lang w:eastAsia="pt-BR"/>
          </w:rPr>
          <w:t>1</w:t>
        </w:r>
        <w:r w:rsidR="00B966CC" w:rsidRPr="00687949">
          <w:rPr>
            <w:rStyle w:val="Hyperlink"/>
            <w:sz w:val="24"/>
            <w:szCs w:val="24"/>
            <w:lang w:eastAsia="pt-BR"/>
          </w:rPr>
          <w:t>.</w:t>
        </w:r>
      </w:hyperlink>
    </w:p>
    <w:p w14:paraId="03A87D41" w14:textId="77777777" w:rsidR="00EB3594" w:rsidRDefault="00EB3594"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4F7EDFC8" w14:textId="704C5699" w:rsidR="00EB3594" w:rsidRDefault="00DE735A" w:rsidP="00DE735A">
      <w:pPr>
        <w:pStyle w:val="TextoAGU"/>
        <w:numPr>
          <w:ilvl w:val="0"/>
          <w:numId w:val="0"/>
        </w:numPr>
        <w:tabs>
          <w:tab w:val="clear" w:pos="1418"/>
        </w:tabs>
        <w:spacing w:before="0" w:after="360"/>
        <w:jc w:val="center"/>
        <w:rPr>
          <w:rFonts w:asciiTheme="majorHAnsi" w:hAnsiTheme="majorHAnsi" w:cstheme="majorHAnsi"/>
          <w:b/>
          <w:bCs/>
          <w:sz w:val="22"/>
          <w:szCs w:val="22"/>
          <w:u w:val="single"/>
          <w:lang w:eastAsia="pt-BR"/>
        </w:rPr>
      </w:pPr>
      <w:bookmarkStart w:id="51" w:name="_Hlk178157193"/>
      <w:r>
        <w:rPr>
          <w:rFonts w:asciiTheme="majorHAnsi" w:hAnsiTheme="majorHAnsi" w:cstheme="majorHAnsi"/>
          <w:sz w:val="22"/>
          <w:szCs w:val="22"/>
          <w:lang w:eastAsia="pt-BR"/>
        </w:rPr>
        <w:t xml:space="preserve">Mercedes-PR, </w:t>
      </w:r>
      <w:r w:rsidR="000F7A2A">
        <w:rPr>
          <w:rFonts w:asciiTheme="majorHAnsi" w:hAnsiTheme="majorHAnsi" w:cstheme="majorHAnsi"/>
          <w:b/>
          <w:bCs/>
          <w:sz w:val="22"/>
          <w:szCs w:val="22"/>
          <w:u w:val="single"/>
          <w:lang w:eastAsia="pt-BR"/>
        </w:rPr>
        <w:t>22</w:t>
      </w:r>
      <w:r>
        <w:rPr>
          <w:rFonts w:asciiTheme="majorHAnsi" w:hAnsiTheme="majorHAnsi" w:cstheme="majorHAnsi"/>
          <w:sz w:val="22"/>
          <w:szCs w:val="22"/>
          <w:lang w:eastAsia="pt-BR"/>
        </w:rPr>
        <w:t xml:space="preserve"> de </w:t>
      </w:r>
      <w:r w:rsidR="000F7A2A">
        <w:rPr>
          <w:rFonts w:asciiTheme="majorHAnsi" w:hAnsiTheme="majorHAnsi" w:cstheme="majorHAnsi"/>
          <w:b/>
          <w:bCs/>
          <w:sz w:val="22"/>
          <w:szCs w:val="22"/>
          <w:u w:val="single"/>
          <w:lang w:eastAsia="pt-BR"/>
        </w:rPr>
        <w:t>AGOSTO</w:t>
      </w:r>
      <w:r>
        <w:rPr>
          <w:rFonts w:asciiTheme="majorHAnsi" w:hAnsiTheme="majorHAnsi" w:cstheme="majorHAnsi"/>
          <w:sz w:val="22"/>
          <w:szCs w:val="22"/>
          <w:lang w:eastAsia="pt-BR"/>
        </w:rPr>
        <w:t xml:space="preserve"> de </w:t>
      </w:r>
      <w:r w:rsidR="000F7A2A">
        <w:rPr>
          <w:rFonts w:asciiTheme="majorHAnsi" w:hAnsiTheme="majorHAnsi" w:cstheme="majorHAnsi"/>
          <w:b/>
          <w:bCs/>
          <w:sz w:val="22"/>
          <w:szCs w:val="22"/>
          <w:u w:val="single"/>
          <w:lang w:eastAsia="pt-BR"/>
        </w:rPr>
        <w:t>2024</w:t>
      </w:r>
    </w:p>
    <w:p w14:paraId="3BA314C8" w14:textId="77777777" w:rsidR="00B67BBE" w:rsidRDefault="00B67BBE" w:rsidP="00DE735A">
      <w:pPr>
        <w:pStyle w:val="TextoAGU"/>
        <w:numPr>
          <w:ilvl w:val="0"/>
          <w:numId w:val="0"/>
        </w:numPr>
        <w:tabs>
          <w:tab w:val="clear" w:pos="1418"/>
        </w:tabs>
        <w:spacing w:before="0" w:after="360"/>
        <w:jc w:val="center"/>
        <w:rPr>
          <w:rFonts w:asciiTheme="majorHAnsi" w:hAnsiTheme="majorHAnsi" w:cstheme="majorHAnsi"/>
          <w:sz w:val="22"/>
          <w:szCs w:val="22"/>
          <w:lang w:eastAsia="pt-BR"/>
        </w:rPr>
      </w:pPr>
    </w:p>
    <w:p w14:paraId="7379642B" w14:textId="1304C4ED" w:rsidR="00A90AB7" w:rsidRDefault="00A90AB7" w:rsidP="00A90AB7">
      <w:pPr>
        <w:pStyle w:val="TextoAGU"/>
        <w:numPr>
          <w:ilvl w:val="0"/>
          <w:numId w:val="0"/>
        </w:numPr>
        <w:tabs>
          <w:tab w:val="clear" w:pos="1418"/>
        </w:tabs>
        <w:spacing w:before="0" w:after="0"/>
        <w:jc w:val="center"/>
        <w:rPr>
          <w:rFonts w:asciiTheme="majorHAnsi" w:hAnsiTheme="majorHAnsi" w:cstheme="majorHAnsi"/>
          <w:sz w:val="22"/>
          <w:szCs w:val="22"/>
          <w:lang w:eastAsia="pt-BR"/>
        </w:rPr>
      </w:pPr>
      <w:r>
        <w:rPr>
          <w:rFonts w:asciiTheme="majorHAnsi" w:hAnsiTheme="majorHAnsi" w:cstheme="majorHAnsi"/>
          <w:sz w:val="22"/>
          <w:szCs w:val="22"/>
          <w:lang w:eastAsia="pt-BR"/>
        </w:rPr>
        <w:t>______________________________________________</w:t>
      </w:r>
    </w:p>
    <w:p w14:paraId="356E78C2" w14:textId="265B6182" w:rsidR="000F7A2A" w:rsidRDefault="000F7A2A" w:rsidP="00A90AB7">
      <w:pPr>
        <w:pStyle w:val="TextoAGU"/>
        <w:numPr>
          <w:ilvl w:val="0"/>
          <w:numId w:val="0"/>
        </w:numPr>
        <w:tabs>
          <w:tab w:val="clear" w:pos="1418"/>
        </w:tabs>
        <w:spacing w:before="0" w:after="0"/>
        <w:jc w:val="center"/>
        <w:rPr>
          <w:rFonts w:asciiTheme="majorHAnsi" w:hAnsiTheme="majorHAnsi" w:cstheme="majorHAnsi"/>
          <w:b/>
          <w:bCs/>
          <w:sz w:val="22"/>
          <w:szCs w:val="22"/>
          <w:lang w:eastAsia="pt-BR"/>
        </w:rPr>
      </w:pPr>
      <w:r>
        <w:rPr>
          <w:rFonts w:asciiTheme="majorHAnsi" w:hAnsiTheme="majorHAnsi" w:cstheme="majorHAnsi"/>
          <w:b/>
          <w:bCs/>
          <w:sz w:val="22"/>
          <w:szCs w:val="22"/>
          <w:lang w:eastAsia="pt-BR"/>
        </w:rPr>
        <w:t>DYEIKO ALLANN HENZ</w:t>
      </w:r>
    </w:p>
    <w:p w14:paraId="1AB88CF9" w14:textId="02ADBB75" w:rsidR="000F7A2A" w:rsidRDefault="000F7A2A" w:rsidP="00A90AB7">
      <w:pPr>
        <w:pStyle w:val="TextoAGU"/>
        <w:numPr>
          <w:ilvl w:val="0"/>
          <w:numId w:val="0"/>
        </w:numPr>
        <w:tabs>
          <w:tab w:val="clear" w:pos="1418"/>
        </w:tabs>
        <w:spacing w:before="0" w:after="0"/>
        <w:jc w:val="center"/>
        <w:rPr>
          <w:rFonts w:asciiTheme="majorHAnsi" w:hAnsiTheme="majorHAnsi" w:cstheme="majorHAnsi"/>
          <w:b/>
          <w:bCs/>
          <w:sz w:val="22"/>
          <w:szCs w:val="22"/>
          <w:lang w:eastAsia="pt-BR"/>
        </w:rPr>
      </w:pPr>
      <w:r>
        <w:rPr>
          <w:rFonts w:asciiTheme="majorHAnsi" w:hAnsiTheme="majorHAnsi" w:cstheme="majorHAnsi"/>
          <w:b/>
          <w:bCs/>
          <w:sz w:val="22"/>
          <w:szCs w:val="22"/>
          <w:lang w:eastAsia="pt-BR"/>
        </w:rPr>
        <w:t>ENGENHEIRO CIVIL</w:t>
      </w:r>
    </w:p>
    <w:p w14:paraId="5DFD17CC" w14:textId="5FFBBED8" w:rsidR="000F7A2A" w:rsidRPr="000F7A2A" w:rsidRDefault="000F7A2A" w:rsidP="00A90AB7">
      <w:pPr>
        <w:pStyle w:val="TextoAGU"/>
        <w:numPr>
          <w:ilvl w:val="0"/>
          <w:numId w:val="0"/>
        </w:numPr>
        <w:tabs>
          <w:tab w:val="clear" w:pos="1418"/>
        </w:tabs>
        <w:spacing w:before="0" w:after="0"/>
        <w:jc w:val="center"/>
        <w:rPr>
          <w:rFonts w:asciiTheme="majorHAnsi" w:hAnsiTheme="majorHAnsi" w:cstheme="majorHAnsi"/>
          <w:b/>
          <w:bCs/>
          <w:sz w:val="22"/>
          <w:szCs w:val="22"/>
          <w:lang w:eastAsia="pt-BR"/>
        </w:rPr>
      </w:pPr>
      <w:r>
        <w:rPr>
          <w:rFonts w:asciiTheme="majorHAnsi" w:hAnsiTheme="majorHAnsi" w:cstheme="majorHAnsi"/>
          <w:b/>
          <w:bCs/>
          <w:sz w:val="22"/>
          <w:szCs w:val="22"/>
          <w:lang w:eastAsia="pt-BR"/>
        </w:rPr>
        <w:t>CREA PR-136876/D</w:t>
      </w:r>
    </w:p>
    <w:bookmarkEnd w:id="51"/>
    <w:p w14:paraId="4E1118AA" w14:textId="57D54700" w:rsidR="00EB3594" w:rsidRDefault="00A90AB7" w:rsidP="00A90AB7">
      <w:pPr>
        <w:pStyle w:val="TextoAGU"/>
        <w:numPr>
          <w:ilvl w:val="0"/>
          <w:numId w:val="0"/>
        </w:numPr>
        <w:tabs>
          <w:tab w:val="clear" w:pos="1418"/>
        </w:tabs>
        <w:spacing w:before="0" w:after="0"/>
        <w:jc w:val="center"/>
        <w:rPr>
          <w:rFonts w:asciiTheme="majorHAnsi" w:hAnsiTheme="majorHAnsi" w:cstheme="majorHAnsi"/>
          <w:sz w:val="22"/>
          <w:szCs w:val="22"/>
          <w:lang w:eastAsia="pt-BR"/>
        </w:rPr>
      </w:pPr>
      <w:r>
        <w:rPr>
          <w:rFonts w:asciiTheme="majorHAnsi" w:hAnsiTheme="majorHAnsi" w:cstheme="majorHAnsi"/>
          <w:sz w:val="22"/>
          <w:szCs w:val="22"/>
          <w:lang w:eastAsia="pt-BR"/>
        </w:rPr>
        <w:t xml:space="preserve"> </w:t>
      </w:r>
    </w:p>
    <w:p w14:paraId="7E23549C" w14:textId="63BF9E78" w:rsidR="00EB3594" w:rsidRDefault="00EB3594"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492F4B05" w14:textId="0292550D" w:rsidR="000F7A2A" w:rsidRDefault="000F7A2A"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42D587B9" w14:textId="14C4A04D" w:rsidR="000F7A2A" w:rsidRDefault="000F7A2A"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56465727" w14:textId="638A6150" w:rsidR="000F7A2A" w:rsidRDefault="000F7A2A"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4EC4145A" w14:textId="534D95D0" w:rsidR="000F7A2A" w:rsidRDefault="000F7A2A"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62793396" w14:textId="5EBCF854" w:rsidR="000F7A2A" w:rsidRDefault="000F7A2A"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128F8B81" w14:textId="27E7974D" w:rsidR="000F7A2A" w:rsidRDefault="000F7A2A"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7AA42ABA" w14:textId="070825E6" w:rsidR="000F7A2A" w:rsidRDefault="000F7A2A"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5EA293A3" w14:textId="1E06BF11" w:rsidR="000F7A2A" w:rsidRDefault="000F7A2A"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03DCA368" w14:textId="4275710C" w:rsidR="000F7A2A" w:rsidRDefault="000F7A2A"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2E7EAFE7" w14:textId="4D2F02E4" w:rsidR="000F7A2A" w:rsidRDefault="000F7A2A"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1F8EB3BB" w14:textId="4091CAAD" w:rsidR="000F7A2A" w:rsidRDefault="000F7A2A"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34191C1A" w14:textId="4257CF56" w:rsidR="000F7A2A" w:rsidRDefault="000F7A2A"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3DB9F16E" w14:textId="216FE4FA" w:rsidR="000F7A2A" w:rsidRDefault="000F7A2A"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307030FB" w14:textId="77777777" w:rsidR="0021236F" w:rsidRPr="0021236F" w:rsidRDefault="0021236F" w:rsidP="00071797">
      <w:pPr>
        <w:pStyle w:val="ApTexto"/>
        <w:shd w:val="clear" w:color="auto" w:fill="D9D9D9" w:themeFill="background1" w:themeFillShade="D9"/>
        <w:ind w:left="-1418" w:right="-1418" w:firstLine="0"/>
      </w:pPr>
    </w:p>
    <w:p w14:paraId="1ABC0D5F" w14:textId="4B6D193E" w:rsidR="00301F41" w:rsidRDefault="00533725" w:rsidP="00071797">
      <w:pPr>
        <w:pStyle w:val="TJTR-Ttulo"/>
        <w:spacing w:before="0" w:after="0"/>
        <w:ind w:left="-1418" w:right="-1418"/>
      </w:pPr>
      <w:bookmarkStart w:id="52" w:name="_Toc142556205"/>
      <w:r>
        <w:t>NOTAS EXPLICATIVAS</w:t>
      </w:r>
      <w:bookmarkEnd w:id="52"/>
    </w:p>
    <w:p w14:paraId="7F7C77F7" w14:textId="77777777" w:rsidR="0021236F" w:rsidRPr="0021236F" w:rsidRDefault="0021236F" w:rsidP="00071797">
      <w:pPr>
        <w:pStyle w:val="ApTexto"/>
        <w:shd w:val="clear" w:color="auto" w:fill="D9D9D9" w:themeFill="background1" w:themeFillShade="D9"/>
        <w:ind w:left="-1418" w:right="-1418" w:firstLine="0"/>
      </w:pPr>
    </w:p>
    <w:p w14:paraId="6B6A39EF" w14:textId="77777777" w:rsidR="0021236F" w:rsidRDefault="0021236F" w:rsidP="008216F7">
      <w:pPr>
        <w:pStyle w:val="ApTexto"/>
        <w:spacing w:before="0" w:after="360"/>
        <w:rPr>
          <w:lang w:eastAsia="pt-BR"/>
        </w:rPr>
      </w:pPr>
      <w:bookmarkStart w:id="53" w:name="_Ref136507232"/>
    </w:p>
    <w:p w14:paraId="2AC189CD" w14:textId="463DF00E" w:rsidR="008D6D97" w:rsidRPr="006014BF" w:rsidRDefault="0021236F" w:rsidP="002240A4">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54" w:name="nt_1"/>
      <w:bookmarkStart w:id="55" w:name="_Toc142556206"/>
      <w:bookmarkEnd w:id="54"/>
      <w:r w:rsidRPr="006014BF">
        <w:rPr>
          <w:rFonts w:asciiTheme="majorHAnsi" w:hAnsiTheme="majorHAnsi" w:cstheme="majorHAnsi"/>
          <w:color w:val="auto"/>
          <w:szCs w:val="24"/>
        </w:rPr>
        <w:t>E</w:t>
      </w:r>
      <w:bookmarkEnd w:id="53"/>
      <w:r w:rsidR="006014BF" w:rsidRPr="006014BF">
        <w:rPr>
          <w:rFonts w:asciiTheme="majorHAnsi" w:hAnsiTheme="majorHAnsi" w:cstheme="majorHAnsi"/>
          <w:color w:val="auto"/>
          <w:szCs w:val="24"/>
        </w:rPr>
        <w:t>NQUADRAMENTO DO OBJETO</w:t>
      </w:r>
      <w:bookmarkEnd w:id="55"/>
    </w:p>
    <w:p w14:paraId="2013829A" w14:textId="11CA467A" w:rsidR="00E53CD3" w:rsidRPr="006A6D8E" w:rsidRDefault="00E53CD3" w:rsidP="006A6D8E">
      <w:pPr>
        <w:pStyle w:val="TJTRSubTT-Nv2"/>
        <w:numPr>
          <w:ilvl w:val="1"/>
          <w:numId w:val="7"/>
        </w:numPr>
        <w:spacing w:before="0" w:after="360"/>
        <w:ind w:left="0" w:firstLine="0"/>
        <w:rPr>
          <w:szCs w:val="24"/>
        </w:rPr>
      </w:pPr>
      <w:bookmarkStart w:id="56" w:name="_Toc142556207"/>
      <w:r w:rsidRPr="006A6D8E">
        <w:rPr>
          <w:szCs w:val="24"/>
        </w:rPr>
        <w:t>Classificação como obra ou serviço de engenharia</w:t>
      </w:r>
      <w:bookmarkEnd w:id="56"/>
    </w:p>
    <w:p w14:paraId="27860984" w14:textId="548C0F8D" w:rsidR="00E53CD3" w:rsidRPr="00D875A9" w:rsidRDefault="00E53CD3" w:rsidP="008216F7">
      <w:pPr>
        <w:pStyle w:val="ApTexto"/>
        <w:spacing w:before="0" w:after="360"/>
      </w:pPr>
      <w:r w:rsidRPr="00D875A9">
        <w:t>Na Lei n. 8.666, de 1993, a conceituação da atividade como obra ou serviço de engenharia se dava por exemplificação. Atividades de construção, reforma, fabricação, recuperação ou ampliação constituiriam uma obra, ao passo que serviço de engenharia seria toda atividade destinada a obter determinada utilidade de interesse para a Administração, tais como: demolição, conserto, instalação, montagem, operação, conservação, reparação, adaptação, manutenção, transporte, locação de bens, publicidade, seguro ou trabalhos técnico-profissionais.</w:t>
      </w:r>
    </w:p>
    <w:p w14:paraId="5C27CFF0" w14:textId="7D915803" w:rsidR="00E53CD3" w:rsidRPr="00D875A9" w:rsidRDefault="00E53CD3" w:rsidP="00D875A9">
      <w:pPr>
        <w:pStyle w:val="ApTexto"/>
        <w:spacing w:before="0" w:after="360"/>
      </w:pPr>
      <w:r w:rsidRPr="00D875A9">
        <w:t>No Parecer n. 075/2010/DECOR/CGU/AGU, que é destacado no Manual de Obras e Serviços de Engenharia da Consultoria-Geral da União, tais atividades foram sintetizadas sob a concepção da alteração significativa ou não significativa do espaço, nos seguintes termos:</w:t>
      </w:r>
    </w:p>
    <w:p w14:paraId="7E6112DC" w14:textId="7C08E3A5" w:rsidR="00E53CD3" w:rsidRPr="00D875A9" w:rsidRDefault="00E53CD3" w:rsidP="00D875A9">
      <w:pPr>
        <w:pStyle w:val="ApTexto"/>
        <w:spacing w:before="0" w:after="360"/>
        <w:rPr>
          <w:b/>
          <w:bCs/>
          <w:u w:val="single"/>
        </w:rPr>
      </w:pPr>
      <w:r w:rsidRPr="00D875A9">
        <w:t>a) Em se tratando de alteração significativa, autônoma e independente, estar-se-á adiante de obra de engenharia, vedada a adoção do pregão;</w:t>
      </w:r>
    </w:p>
    <w:p w14:paraId="6D1D789B" w14:textId="5192BE5A" w:rsidR="00E53CD3" w:rsidRPr="00D875A9" w:rsidRDefault="00E53CD3" w:rsidP="00D875A9">
      <w:pPr>
        <w:pStyle w:val="ApTexto"/>
        <w:spacing w:before="0" w:after="360"/>
        <w:rPr>
          <w:b/>
          <w:bCs/>
          <w:u w:val="single"/>
        </w:rPr>
      </w:pPr>
      <w:r w:rsidRPr="00D875A9">
        <w:t>b) Em se tratando de alteração não significativa, autônoma e independente, estar-se-á adiante de serviço de engenharia, cabível a adoção do pregão;</w:t>
      </w:r>
    </w:p>
    <w:p w14:paraId="1EA8C7B9" w14:textId="491C1E55" w:rsidR="00E53CD3" w:rsidRPr="00D875A9" w:rsidRDefault="00E53CD3" w:rsidP="00D875A9">
      <w:pPr>
        <w:pStyle w:val="ApTexto"/>
        <w:spacing w:before="0" w:after="360"/>
      </w:pPr>
      <w:r w:rsidRPr="00D875A9">
        <w:t>A Lei n. 14.133, de 2021 – Nova Lei de Licitações e Contratos – em seu art. 6º, incisos XII e XXI, estabelece as definições de obra e serviço de engenharia também se valendo da referência à dimensão da alteração, nos seguintes termos:</w:t>
      </w:r>
    </w:p>
    <w:p w14:paraId="4C02CFF6" w14:textId="499E3FC7" w:rsidR="00E53CD3" w:rsidRPr="007C3AD7" w:rsidRDefault="00E53CD3" w:rsidP="007C3AD7">
      <w:pPr>
        <w:pStyle w:val="ApCitao"/>
        <w:spacing w:before="0" w:after="360"/>
        <w:ind w:left="2552" w:firstLine="0"/>
        <w:rPr>
          <w:sz w:val="22"/>
          <w:szCs w:val="22"/>
        </w:rPr>
      </w:pPr>
      <w:r w:rsidRPr="007C3AD7">
        <w:rPr>
          <w:sz w:val="22"/>
          <w:szCs w:val="22"/>
        </w:rPr>
        <w:t>Obra: toda atividade estabelecida, por força de lei, como privativa das profissões de arquiteto e engenheiro que implica intervenção no meio ambiente por meio de um conjunto harmônico de ações que, agregadas, formam um todo que inova o espaço físico da natureza ou acarreta alteração substancial das características originais de bem imóvel;</w:t>
      </w:r>
    </w:p>
    <w:p w14:paraId="22F0DC59" w14:textId="2725625F" w:rsidR="00E53CD3" w:rsidRPr="007C3AD7" w:rsidRDefault="00E53CD3" w:rsidP="007C3AD7">
      <w:pPr>
        <w:pStyle w:val="ApCitao"/>
        <w:spacing w:before="0" w:after="360"/>
        <w:ind w:left="2552" w:firstLine="0"/>
        <w:rPr>
          <w:sz w:val="22"/>
          <w:szCs w:val="22"/>
        </w:rPr>
      </w:pPr>
      <w:r w:rsidRPr="007C3AD7">
        <w:rPr>
          <w:sz w:val="22"/>
          <w:szCs w:val="22"/>
        </w:rPr>
        <w:t>Serviço de engenharia: toda atividade ou conjunto de atividades destinadas a obter determinada utilidade, intelectual ou material, de interesse para a Administração e que, não enquadradas no conceito de obra a que se refere o inciso XII do caput deste artigo, são estabelecidas, por força de lei, como privativas das profissões de arquiteto e engenheiro ou de técnicos especializados, que compreendem:</w:t>
      </w:r>
    </w:p>
    <w:p w14:paraId="0D41FCDB" w14:textId="68F28C04" w:rsidR="00E53CD3" w:rsidRPr="00D875A9" w:rsidRDefault="00E53CD3" w:rsidP="00D875A9">
      <w:pPr>
        <w:pStyle w:val="ApTexto"/>
        <w:spacing w:before="0" w:after="360"/>
      </w:pPr>
      <w:r w:rsidRPr="00D875A9">
        <w:lastRenderedPageBreak/>
        <w:t xml:space="preserve">Sob a égide da nova lei, a atividade será enquadrada como </w:t>
      </w:r>
      <w:r w:rsidRPr="00D875A9">
        <w:rPr>
          <w:b/>
          <w:bCs/>
        </w:rPr>
        <w:t>obra</w:t>
      </w:r>
      <w:r w:rsidRPr="00D875A9">
        <w:t xml:space="preserve"> quando i) seu exercício, por força de lei, for privativo das profissões de engenheiro e arquiteto, e, cumulativamente, </w:t>
      </w:r>
      <w:proofErr w:type="spellStart"/>
      <w:r w:rsidRPr="00D875A9">
        <w:t>ii</w:t>
      </w:r>
      <w:proofErr w:type="spellEnd"/>
      <w:r w:rsidRPr="00D875A9">
        <w:t xml:space="preserve">) importar em inovação do espaço físico da natureza ou substancial alteração das características originais de bem imóvel. </w:t>
      </w:r>
    </w:p>
    <w:p w14:paraId="378E0BB7" w14:textId="5F1165C8" w:rsidR="00E53CD3" w:rsidRPr="00D875A9" w:rsidRDefault="00E53CD3" w:rsidP="00D875A9">
      <w:pPr>
        <w:pStyle w:val="ApTexto"/>
        <w:spacing w:before="0" w:after="360"/>
      </w:pPr>
      <w:r w:rsidRPr="00D875A9">
        <w:t xml:space="preserve">O enquadramento como </w:t>
      </w:r>
      <w:r w:rsidRPr="00D875A9">
        <w:rPr>
          <w:b/>
          <w:bCs/>
        </w:rPr>
        <w:t>serviço de engenharia</w:t>
      </w:r>
      <w:r w:rsidRPr="00D875A9">
        <w:t xml:space="preserve">, por outro lado, tem um caráter de exclusão: trata-se de atividade desempenhada por arquiteto, engenheiro ou técnico especializado que importe em utilidade para a Administração, mas não constitua obra, ou seja, não importe em inovação ou alteração substancial do ambiente ou bem imóvel. </w:t>
      </w:r>
    </w:p>
    <w:p w14:paraId="5F64411F" w14:textId="25370C72" w:rsidR="00E53CD3" w:rsidRPr="00D875A9" w:rsidRDefault="00E53CD3" w:rsidP="00D875A9">
      <w:pPr>
        <w:pStyle w:val="ApTexto"/>
        <w:spacing w:before="0" w:after="360"/>
      </w:pPr>
      <w:r w:rsidRPr="00D875A9">
        <w:t>Percebemos que o supracitado Manual de Obras e Serviços de Engenharia da Consultoria-Geral da União já destacava a ideia de novidade para distinguir obra de serviço de engenharia, consignando que</w:t>
      </w:r>
    </w:p>
    <w:p w14:paraId="242333B5" w14:textId="40A3F8EF" w:rsidR="00E53CD3" w:rsidRPr="007C3AD7" w:rsidRDefault="00E53CD3" w:rsidP="007C3AD7">
      <w:pPr>
        <w:pStyle w:val="ApCitao"/>
        <w:spacing w:before="0" w:after="360"/>
        <w:ind w:left="2552" w:firstLine="0"/>
        <w:rPr>
          <w:sz w:val="22"/>
          <w:szCs w:val="22"/>
        </w:rPr>
      </w:pPr>
      <w:r w:rsidRPr="007C3AD7">
        <w:rPr>
          <w:sz w:val="22"/>
          <w:szCs w:val="22"/>
        </w:rPr>
        <w:t xml:space="preserve">Obra é toda e qualquer criação material nova ou incorporação de coisa nova à estrutura já existente.  (...) </w:t>
      </w:r>
    </w:p>
    <w:p w14:paraId="75835A60" w14:textId="77777777" w:rsidR="00E53CD3" w:rsidRPr="007C3AD7" w:rsidRDefault="00E53CD3" w:rsidP="007C3AD7">
      <w:pPr>
        <w:pStyle w:val="ApCitao"/>
        <w:spacing w:before="0" w:after="360"/>
        <w:ind w:left="2552" w:firstLine="0"/>
        <w:rPr>
          <w:sz w:val="22"/>
          <w:szCs w:val="22"/>
        </w:rPr>
      </w:pPr>
      <w:r w:rsidRPr="007C3AD7">
        <w:rPr>
          <w:sz w:val="22"/>
          <w:szCs w:val="22"/>
        </w:rPr>
        <w:t>Serviço de engenharia é a atividade destinada a garantir a fruição de utilidade já existente ou a proporcionar a utilização de funcionalidade nova em coisa/bem material já existente. Não se cria coisa nova. Pelo contrário, o serviço consiste no conserto, na conservação, operação, reparação, adaptação ou manutenção de um bem material específico já construído ou fabricado. Ou, ainda, na instalação ou montagem de objeto em algo já existente. Objetiva-se, assim, manter-se ou aumentar-se a eficiência da utilidade a que se destina ou pode se destinar um bem perfeito e acabado.</w:t>
      </w:r>
    </w:p>
    <w:p w14:paraId="4B2F1AD9" w14:textId="7E05525B" w:rsidR="00E53CD3" w:rsidRPr="00D875A9" w:rsidRDefault="00951473" w:rsidP="00D875A9">
      <w:pPr>
        <w:pStyle w:val="ApTexto"/>
        <w:spacing w:before="0" w:after="360"/>
      </w:pPr>
      <w:r w:rsidRPr="00D875A9">
        <w:t>C</w:t>
      </w:r>
      <w:r w:rsidR="00E53CD3" w:rsidRPr="00D875A9">
        <w:t>ompete ao setor técnico definir a natureza do objeto, enquadrando</w:t>
      </w:r>
      <w:r w:rsidRPr="00D875A9">
        <w:t>-o</w:t>
      </w:r>
      <w:r w:rsidR="00E53CD3" w:rsidRPr="00D875A9">
        <w:t xml:space="preserve"> como obra ou serviço de engenharia. </w:t>
      </w:r>
    </w:p>
    <w:p w14:paraId="1CBD52CE" w14:textId="3236F6D9" w:rsidR="00D47346" w:rsidRPr="006A6D8E" w:rsidRDefault="00D47346" w:rsidP="006A6D8E">
      <w:pPr>
        <w:pStyle w:val="TJTRSubTT-Nv2"/>
        <w:numPr>
          <w:ilvl w:val="1"/>
          <w:numId w:val="7"/>
        </w:numPr>
        <w:spacing w:before="0" w:after="360"/>
        <w:ind w:left="0" w:firstLine="0"/>
        <w:rPr>
          <w:szCs w:val="24"/>
        </w:rPr>
      </w:pPr>
      <w:bookmarkStart w:id="57" w:name="_Toc142556208"/>
      <w:r w:rsidRPr="006A6D8E">
        <w:rPr>
          <w:szCs w:val="24"/>
        </w:rPr>
        <w:t>Classificação como serviço comum ou especial</w:t>
      </w:r>
      <w:bookmarkEnd w:id="57"/>
    </w:p>
    <w:p w14:paraId="261E5F03" w14:textId="3EC00229" w:rsidR="00D47346" w:rsidRPr="00D875A9" w:rsidRDefault="00D47346" w:rsidP="00D875A9">
      <w:pPr>
        <w:pStyle w:val="ApTexto"/>
        <w:spacing w:before="0" w:after="360"/>
      </w:pPr>
      <w:r w:rsidRPr="00D875A9">
        <w:t xml:space="preserve">Uma vez que a atividade seja classificada como serviço de engenharia, cabe à equipe técnica perquirir se esse serviço é </w:t>
      </w:r>
      <w:r w:rsidRPr="00D875A9">
        <w:rPr>
          <w:b/>
          <w:bCs/>
        </w:rPr>
        <w:t>comum</w:t>
      </w:r>
      <w:r w:rsidRPr="00D875A9">
        <w:t xml:space="preserve"> ou </w:t>
      </w:r>
      <w:r w:rsidRPr="00D875A9">
        <w:rPr>
          <w:b/>
          <w:bCs/>
        </w:rPr>
        <w:t>especial</w:t>
      </w:r>
      <w:r w:rsidRPr="00D875A9">
        <w:t>, que assim são definidos no art. 6º, XXI, “a” e “b”, da Lei n. 14.133, de 2021:</w:t>
      </w:r>
    </w:p>
    <w:p w14:paraId="762FB613" w14:textId="467AA762" w:rsidR="00D47346" w:rsidRPr="00D875A9" w:rsidRDefault="00D47346" w:rsidP="00D875A9">
      <w:pPr>
        <w:pStyle w:val="ApTexto"/>
        <w:spacing w:before="0" w:after="360"/>
        <w:rPr>
          <w:lang w:eastAsia="pt-BR"/>
        </w:rPr>
      </w:pPr>
      <w:r w:rsidRPr="00D875A9">
        <w:rPr>
          <w:lang w:eastAsia="pt-BR"/>
        </w:rPr>
        <w:t>a) serviço comum de engenharia: todo serviço de engenharia que tem por objeto ações, objetivamente padronizáveis em termos de desempenho e qualidade, de manutenção, de adequação e de adaptação de bens móveis e imóveis, com preservação das características originais dos bens;</w:t>
      </w:r>
    </w:p>
    <w:p w14:paraId="1F68FBC1" w14:textId="6CD6E265" w:rsidR="00D47346" w:rsidRPr="00D875A9" w:rsidRDefault="00D47346" w:rsidP="00D875A9">
      <w:pPr>
        <w:pStyle w:val="ApTexto"/>
        <w:spacing w:before="0" w:after="360"/>
        <w:rPr>
          <w:lang w:eastAsia="pt-BR"/>
        </w:rPr>
      </w:pPr>
      <w:bookmarkStart w:id="58" w:name="art6xxib"/>
      <w:bookmarkEnd w:id="58"/>
      <w:r w:rsidRPr="00D875A9">
        <w:rPr>
          <w:lang w:eastAsia="pt-BR"/>
        </w:rPr>
        <w:t>b) serviço especial de engenharia: aquele que, por sua alta heterogeneidade ou complexidade, não pode se enquadrar na definição constante da alínea “a” deste inciso;</w:t>
      </w:r>
    </w:p>
    <w:p w14:paraId="198ED08A" w14:textId="46A5A094" w:rsidR="00D47346" w:rsidRPr="00D875A9" w:rsidRDefault="00D47346" w:rsidP="00D875A9">
      <w:pPr>
        <w:pStyle w:val="ApTexto"/>
        <w:spacing w:before="0" w:after="360"/>
      </w:pPr>
      <w:r w:rsidRPr="00D875A9">
        <w:lastRenderedPageBreak/>
        <w:t xml:space="preserve">Segundo Marçal </w:t>
      </w:r>
      <w:proofErr w:type="spellStart"/>
      <w:r w:rsidRPr="00D875A9">
        <w:t>Justen</w:t>
      </w:r>
      <w:proofErr w:type="spellEnd"/>
      <w:r w:rsidRPr="00D875A9">
        <w:t xml:space="preserve"> Filho</w:t>
      </w:r>
      <w:r w:rsidR="007C23A6" w:rsidRPr="00D875A9">
        <w:rPr>
          <w:rStyle w:val="Refdenotaderodap"/>
        </w:rPr>
        <w:footnoteReference w:id="2"/>
      </w:r>
      <w:r w:rsidRPr="00D875A9">
        <w:t>, “bem ou serviço comum é aquele que se apresenta sob identidade e características padronizadas e que se encontra disponível, a qualquer tempo, num mercado próprio”.</w:t>
      </w:r>
    </w:p>
    <w:p w14:paraId="16E3052B" w14:textId="471710FD" w:rsidR="00D47346" w:rsidRPr="00D875A9" w:rsidRDefault="00D47346" w:rsidP="00D875A9">
      <w:pPr>
        <w:pStyle w:val="ApTexto"/>
        <w:spacing w:before="0" w:after="360"/>
      </w:pPr>
      <w:r w:rsidRPr="00D875A9">
        <w:t xml:space="preserve">O caráter </w:t>
      </w:r>
      <w:r w:rsidRPr="00D875A9">
        <w:rPr>
          <w:b/>
          <w:bCs/>
        </w:rPr>
        <w:t>comum</w:t>
      </w:r>
      <w:r w:rsidRPr="00D875A9">
        <w:t xml:space="preserve"> ou </w:t>
      </w:r>
      <w:r w:rsidRPr="00D875A9">
        <w:rPr>
          <w:b/>
          <w:bCs/>
        </w:rPr>
        <w:t>especial</w:t>
      </w:r>
      <w:r w:rsidRPr="00D875A9">
        <w:t xml:space="preserve"> do serviço está ligado à presença, ou não, de padronização no mercado e não reside, necessariamente, no grau de complexidade executiva do serviço ou na imposição legal de que a atividade seja exercida por profissionais habilitados. O que atrai o enquadramento do serviço como comum é o domínio do mercado sobre as técnicas de sua realização, em face da existência de características padronizadas de desempenho e de qualidade. </w:t>
      </w:r>
    </w:p>
    <w:p w14:paraId="1E49FD98" w14:textId="6B4845EE" w:rsidR="00D47346" w:rsidRDefault="00D47346" w:rsidP="008216F7">
      <w:pPr>
        <w:pStyle w:val="ApTexto"/>
        <w:spacing w:before="0" w:after="360"/>
      </w:pPr>
      <w:r w:rsidRPr="00D875A9">
        <w:t>Considerando que a avaliação da natureza comum ou especial do objeto envolve aspectos técnicos dos serviços de engenharia a ser contratada, essa classificação compete ao profissional legalmente habilitado</w:t>
      </w:r>
      <w:r w:rsidR="007C23A6" w:rsidRPr="00D875A9">
        <w:t>.</w:t>
      </w:r>
    </w:p>
    <w:p w14:paraId="029D447B" w14:textId="6658D09D" w:rsidR="000240B0" w:rsidRPr="00D875A9" w:rsidRDefault="001E704A" w:rsidP="000240B0">
      <w:pPr>
        <w:pStyle w:val="ApTexto"/>
        <w:spacing w:before="0" w:after="360"/>
      </w:pPr>
      <w:hyperlink w:anchor="nt_1_retorno" w:history="1">
        <w:r w:rsidR="000240B0" w:rsidRPr="000240B0">
          <w:rPr>
            <w:rStyle w:val="Hyperlink"/>
          </w:rPr>
          <w:t>Voltar ao preenchimento</w:t>
        </w:r>
      </w:hyperlink>
    </w:p>
    <w:p w14:paraId="6B9F60CD" w14:textId="3852F1AD" w:rsidR="008D6D97" w:rsidRPr="002240A4" w:rsidRDefault="008216F7" w:rsidP="002240A4">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59" w:name="nt_2"/>
      <w:bookmarkStart w:id="60" w:name="_Ref136507244"/>
      <w:bookmarkStart w:id="61" w:name="_Toc142556209"/>
      <w:bookmarkEnd w:id="59"/>
      <w:r w:rsidRPr="002240A4">
        <w:rPr>
          <w:rFonts w:asciiTheme="majorHAnsi" w:hAnsiTheme="majorHAnsi" w:cstheme="majorHAnsi"/>
          <w:color w:val="auto"/>
          <w:szCs w:val="24"/>
        </w:rPr>
        <w:t>REGIMES DE EXECUÇÃO</w:t>
      </w:r>
      <w:bookmarkEnd w:id="60"/>
      <w:bookmarkEnd w:id="61"/>
    </w:p>
    <w:p w14:paraId="16A63549" w14:textId="5D6D47CF" w:rsidR="00A61CFB" w:rsidRPr="00BA6851" w:rsidRDefault="00A61CFB" w:rsidP="008216F7">
      <w:pPr>
        <w:pStyle w:val="ApTexto"/>
        <w:spacing w:before="0" w:after="360"/>
        <w:rPr>
          <w:lang w:eastAsia="pt-BR"/>
        </w:rPr>
      </w:pPr>
      <w:r w:rsidRPr="00BA6851">
        <w:rPr>
          <w:lang w:eastAsia="pt-BR"/>
        </w:rPr>
        <w:t>Nos termos do art. 46 da Lei n. 14.133, de 2021, poderão ser adotados nas contratações de obras e serviços de engenharia os seguintes regimes de execução:</w:t>
      </w:r>
      <w:bookmarkStart w:id="62" w:name="art46i"/>
      <w:bookmarkEnd w:id="62"/>
      <w:r w:rsidR="00BA6851" w:rsidRPr="00BA6851">
        <w:rPr>
          <w:lang w:eastAsia="pt-BR"/>
        </w:rPr>
        <w:t xml:space="preserve"> </w:t>
      </w:r>
      <w:r w:rsidRPr="00BA6851">
        <w:t>I - empreitada por preço unitário;</w:t>
      </w:r>
      <w:bookmarkStart w:id="63" w:name="art46ii"/>
      <w:bookmarkEnd w:id="63"/>
      <w:r w:rsidR="00BA6851" w:rsidRPr="00BA6851">
        <w:t xml:space="preserve"> </w:t>
      </w:r>
      <w:r w:rsidRPr="00BA6851">
        <w:t>II - empreitada por preço global;</w:t>
      </w:r>
      <w:bookmarkStart w:id="64" w:name="art46iii"/>
      <w:bookmarkEnd w:id="64"/>
      <w:r w:rsidR="00BA6851" w:rsidRPr="00BA6851">
        <w:t xml:space="preserve"> </w:t>
      </w:r>
      <w:r w:rsidRPr="00BA6851">
        <w:t>III - empreitada integral;</w:t>
      </w:r>
      <w:bookmarkStart w:id="65" w:name="art46iv"/>
      <w:bookmarkEnd w:id="65"/>
      <w:r w:rsidR="00BA6851" w:rsidRPr="00BA6851">
        <w:t xml:space="preserve"> </w:t>
      </w:r>
      <w:r w:rsidRPr="00BA6851">
        <w:t>IV - contratação por tarefa;</w:t>
      </w:r>
      <w:bookmarkStart w:id="66" w:name="art46v"/>
      <w:bookmarkEnd w:id="66"/>
      <w:r w:rsidR="00BA6851" w:rsidRPr="00BA6851">
        <w:t xml:space="preserve"> </w:t>
      </w:r>
      <w:r w:rsidRPr="00BA6851">
        <w:t>V - contratação integrada;</w:t>
      </w:r>
      <w:bookmarkStart w:id="67" w:name="art46vi"/>
      <w:bookmarkEnd w:id="67"/>
      <w:r w:rsidR="00BA6851" w:rsidRPr="00BA6851">
        <w:t xml:space="preserve"> </w:t>
      </w:r>
      <w:r w:rsidRPr="00BA6851">
        <w:t xml:space="preserve">VI - contratação </w:t>
      </w:r>
      <w:proofErr w:type="spellStart"/>
      <w:r w:rsidRPr="00BA6851">
        <w:t>semi-integrada</w:t>
      </w:r>
      <w:proofErr w:type="spellEnd"/>
      <w:r w:rsidRPr="00BA6851">
        <w:t>;</w:t>
      </w:r>
      <w:bookmarkStart w:id="68" w:name="art46vii"/>
      <w:bookmarkEnd w:id="68"/>
      <w:r w:rsidR="00BA6851">
        <w:t xml:space="preserve"> </w:t>
      </w:r>
      <w:r w:rsidR="00BA6851" w:rsidRPr="00BA6851">
        <w:t xml:space="preserve">ou </w:t>
      </w:r>
      <w:r w:rsidRPr="00BA6851">
        <w:t>VII - fornecimento e prestação de serviço associado.</w:t>
      </w:r>
    </w:p>
    <w:p w14:paraId="7DE23BDE" w14:textId="0B3908BB" w:rsidR="00A54110" w:rsidRPr="006A6D8E" w:rsidRDefault="00A54110" w:rsidP="006A6D8E">
      <w:pPr>
        <w:pStyle w:val="TJTRSubTT-Nv2"/>
        <w:numPr>
          <w:ilvl w:val="1"/>
          <w:numId w:val="7"/>
        </w:numPr>
        <w:spacing w:before="0" w:after="360"/>
        <w:ind w:left="0" w:firstLine="0"/>
        <w:rPr>
          <w:szCs w:val="24"/>
        </w:rPr>
      </w:pPr>
      <w:bookmarkStart w:id="69" w:name="_Toc142556210"/>
      <w:r w:rsidRPr="006A6D8E">
        <w:rPr>
          <w:szCs w:val="24"/>
        </w:rPr>
        <w:t>Empreitada por Preço Unitário</w:t>
      </w:r>
      <w:bookmarkEnd w:id="69"/>
    </w:p>
    <w:p w14:paraId="0156F81B" w14:textId="3372570C" w:rsidR="00A61CFB" w:rsidRPr="00D875A9" w:rsidRDefault="6BE7397E" w:rsidP="00D875A9">
      <w:pPr>
        <w:pStyle w:val="ApTexto"/>
        <w:spacing w:before="0" w:after="360"/>
        <w:rPr>
          <w:color w:val="000000" w:themeColor="text1"/>
          <w:lang w:eastAsia="pt-BR"/>
        </w:rPr>
      </w:pPr>
      <w:r w:rsidRPr="00BA6851">
        <w:rPr>
          <w:lang w:eastAsia="pt-BR"/>
        </w:rPr>
        <w:t>O regime de</w:t>
      </w:r>
      <w:r w:rsidRPr="00BA6851">
        <w:rPr>
          <w:b/>
          <w:bCs/>
          <w:lang w:eastAsia="pt-BR"/>
        </w:rPr>
        <w:t xml:space="preserve"> empreitada por preço unitário</w:t>
      </w:r>
      <w:r w:rsidRPr="00BA6851">
        <w:rPr>
          <w:lang w:eastAsia="pt-BR"/>
        </w:rPr>
        <w:t xml:space="preserve"> é definido na Nova Lei de Licitações como regime de contratação da execução da obra ou do serviço em que o preço é fixado por unidade determinada. A remuneração da contratada </w:t>
      </w:r>
      <w:r w:rsidRPr="00BA6851">
        <w:rPr>
          <w:color w:val="000000" w:themeColor="text1"/>
          <w:lang w:eastAsia="pt-BR"/>
        </w:rPr>
        <w:t>é estabelecida em face dos serviços efetivamente executados, de modo que os contratantes não assumem grandes riscos em relação às diferenças de estimativas de quantitativos.</w:t>
      </w:r>
      <w:r w:rsidRPr="00D875A9">
        <w:rPr>
          <w:color w:val="000000" w:themeColor="text1"/>
          <w:lang w:eastAsia="pt-BR"/>
        </w:rPr>
        <w:t xml:space="preserve"> </w:t>
      </w:r>
    </w:p>
    <w:p w14:paraId="0078DB56" w14:textId="0890D1EB" w:rsidR="00A61CFB" w:rsidRPr="00D875A9" w:rsidRDefault="174571FB" w:rsidP="00D875A9">
      <w:pPr>
        <w:pStyle w:val="ApTexto"/>
        <w:spacing w:before="0" w:after="360"/>
        <w:rPr>
          <w:lang w:eastAsia="pt-BR"/>
        </w:rPr>
      </w:pPr>
      <w:r w:rsidRPr="00BA6851">
        <w:rPr>
          <w:lang w:eastAsia="pt-BR"/>
        </w:rPr>
        <w:t xml:space="preserve">Tal regime é mais apropriado para os casos em que não se conhecem de antemão, com alto nível de precisão, os quantitativos totais da obra ou serviço: a execução das “unidades” se dará de acordo com a necessidade observada, com a realização de </w:t>
      </w:r>
      <w:r w:rsidR="436AEC5D" w:rsidRPr="00BA6851">
        <w:rPr>
          <w:lang w:eastAsia="pt-BR"/>
        </w:rPr>
        <w:t xml:space="preserve">minuciosas </w:t>
      </w:r>
      <w:r w:rsidRPr="00BA6851">
        <w:rPr>
          <w:lang w:eastAsia="pt-BR"/>
        </w:rPr>
        <w:t>medições periódicas para quantificar os serviços efetivamente executados. Havendo diferença entre os quantitativos inicialmente previstos nas planilhas orçamentárias e os quantitativos efetivamente necessários, a remuneração devida à contratada deverá ser ajustada (reduzida ou majorada) a fim de refletir os quantitativos reais.</w:t>
      </w:r>
    </w:p>
    <w:p w14:paraId="37831636" w14:textId="60E3E67A" w:rsidR="00A61CFB" w:rsidRPr="00D875A9" w:rsidRDefault="00A61CFB" w:rsidP="00D875A9">
      <w:pPr>
        <w:pStyle w:val="ApTexto"/>
        <w:spacing w:before="0" w:after="360"/>
        <w:rPr>
          <w:lang w:eastAsia="pt-BR"/>
        </w:rPr>
      </w:pPr>
      <w:r w:rsidRPr="00D875A9">
        <w:rPr>
          <w:lang w:eastAsia="pt-BR"/>
        </w:rPr>
        <w:lastRenderedPageBreak/>
        <w:t>Esse regime deve ser adotado em face da imprecisão inerente à própria natureza do objeto, que está sujeito a variações, especialmente nos quantitativos, por fatores supervenientes ou não totalmente conhecidos na fase de planejamento.</w:t>
      </w:r>
      <w:r w:rsidRPr="00D875A9">
        <w:t xml:space="preserve"> São típicos exemplos: execução de fundações; serviços de terraplanagem; desmontes de rochas; implantação, pavimentação ou restauração de rodovias; construção de canais, barragens, adutoras, perímetros de irrigação, obras de saneamento, infraestrutura urbana; obras portuárias, dragagem e derrocamento; reforma de edificações; e construção de poço artesiano.</w:t>
      </w:r>
      <w:r w:rsidRPr="00D875A9">
        <w:rPr>
          <w:lang w:eastAsia="pt-BR"/>
        </w:rPr>
        <w:t xml:space="preserve"> </w:t>
      </w:r>
    </w:p>
    <w:p w14:paraId="73B1A068" w14:textId="6D38A5C1" w:rsidR="00A54110" w:rsidRPr="006A6D8E" w:rsidRDefault="00A54110" w:rsidP="006A6D8E">
      <w:pPr>
        <w:pStyle w:val="TJTRSubTT-Nv2"/>
        <w:numPr>
          <w:ilvl w:val="1"/>
          <w:numId w:val="7"/>
        </w:numPr>
        <w:spacing w:before="0" w:after="360"/>
        <w:ind w:left="0" w:firstLine="0"/>
        <w:rPr>
          <w:szCs w:val="24"/>
        </w:rPr>
      </w:pPr>
      <w:bookmarkStart w:id="70" w:name="_Toc142556211"/>
      <w:r w:rsidRPr="006A6D8E">
        <w:rPr>
          <w:szCs w:val="24"/>
        </w:rPr>
        <w:t>Empreitada por Preço Global</w:t>
      </w:r>
      <w:bookmarkEnd w:id="70"/>
    </w:p>
    <w:p w14:paraId="3AF7DBC9" w14:textId="1D7AA146" w:rsidR="00A61CFB" w:rsidRPr="00D875A9" w:rsidRDefault="4E8CD8CB" w:rsidP="00D875A9">
      <w:pPr>
        <w:pStyle w:val="ApTexto"/>
        <w:spacing w:before="0" w:after="360"/>
        <w:rPr>
          <w:lang w:eastAsia="pt-BR"/>
        </w:rPr>
      </w:pPr>
      <w:r w:rsidRPr="00D875A9">
        <w:rPr>
          <w:lang w:eastAsia="pt-BR"/>
        </w:rPr>
        <w:t>No regime de</w:t>
      </w:r>
      <w:r w:rsidRPr="00D875A9">
        <w:rPr>
          <w:b/>
          <w:bCs/>
          <w:lang w:eastAsia="pt-BR"/>
        </w:rPr>
        <w:t xml:space="preserve"> empreitada por preço global</w:t>
      </w:r>
      <w:r w:rsidRPr="00D875A9">
        <w:rPr>
          <w:lang w:eastAsia="pt-BR"/>
        </w:rPr>
        <w:t xml:space="preserve"> a execução da obra ou serviço se dá por preço certo e total. Adotando-se esse regime, cada parte assume o risco de eventuais distorções nos quantitativos a serem executados, que podem ser superiores ou inferiores àqueles originalmente previstos na planilha orçamentária da contratação. Se, ao final da obra, a contratada tiver fornecido ou executado quantitativos superiores aos estimados, arcará com o prejuízo financeiro, não podendo cobrar a Administração pelos custos adicionais, até certo limite. Na situação oposta, a lógica é a mesma: a Administração não poderá realizar descontos proporcionais aos quantitativos não fornecidos ou executados, se ao final forem inferiores aos estimados, também até certo limite.</w:t>
      </w:r>
      <w:r w:rsidR="59E8515B" w:rsidRPr="00D875A9">
        <w:rPr>
          <w:lang w:eastAsia="pt-BR"/>
        </w:rPr>
        <w:t xml:space="preserve"> Assim, na empreitada por preço global, o grau de assunção de riscos pelo contratado é maior do que na empreitada por preço unitário.</w:t>
      </w:r>
    </w:p>
    <w:p w14:paraId="51B78828" w14:textId="00FEF61F" w:rsidR="00A61CFB" w:rsidRPr="00D875A9" w:rsidRDefault="00A61CFB" w:rsidP="00D875A9">
      <w:pPr>
        <w:pStyle w:val="ApTexto"/>
        <w:spacing w:before="0" w:after="360"/>
      </w:pPr>
      <w:r w:rsidRPr="00D875A9">
        <w:rPr>
          <w:lang w:eastAsia="pt-BR"/>
        </w:rPr>
        <w:t>Esse regime deve ser adotado quando houver um alto nível de precisão das especificações e quantitativos do objeto. Ele pressupõe projetos de boa qualidade, que forneçam aos licitantes todos os elementos e informações necessários para o total e completo conhecimento do objeto e a elaboração de proposta fidedigna, justamente para evitar distorções relevantes no decorrer da execução contratual, em prejuízo seja da Administração, seja da contratada.</w:t>
      </w:r>
    </w:p>
    <w:p w14:paraId="0B3B2362" w14:textId="3993B2F8" w:rsidR="00A61CFB" w:rsidRPr="00D875A9" w:rsidRDefault="7A8EA0D0" w:rsidP="00D875A9">
      <w:pPr>
        <w:pStyle w:val="ApTexto"/>
        <w:spacing w:before="0" w:after="360"/>
        <w:rPr>
          <w:color w:val="000000" w:themeColor="text1"/>
        </w:rPr>
      </w:pPr>
      <w:r w:rsidRPr="00D875A9">
        <w:rPr>
          <w:lang w:eastAsia="pt-BR"/>
        </w:rPr>
        <w:t>É cabível</w:t>
      </w:r>
      <w:r w:rsidR="4E8CD8CB" w:rsidRPr="00D875A9">
        <w:rPr>
          <w:lang w:eastAsia="pt-BR"/>
        </w:rPr>
        <w:t>, então, quando for possível definir previamente no projeto, com alta precisão, as quantidades dos serviços a serem posteriormente executados na fase contratual.</w:t>
      </w:r>
    </w:p>
    <w:p w14:paraId="5A3E295E" w14:textId="77777777" w:rsidR="006A6D8E" w:rsidRPr="00990197" w:rsidRDefault="006A6D8E" w:rsidP="006A6D8E">
      <w:pPr>
        <w:pStyle w:val="ApTexto"/>
        <w:spacing w:before="0" w:after="360"/>
        <w:rPr>
          <w:color w:val="000000"/>
        </w:rPr>
      </w:pPr>
      <w:r w:rsidRPr="006A6D8E">
        <w:rPr>
          <w:lang w:eastAsia="pt-BR"/>
        </w:rPr>
        <w:t xml:space="preserve">No presente regime de execução, deve ser adotada </w:t>
      </w:r>
      <w:bookmarkStart w:id="71" w:name="art46§9"/>
      <w:bookmarkEnd w:id="71"/>
      <w:r w:rsidRPr="006A6D8E">
        <w:t>sistemática de medição e pagamento associada à execução de etapas do cronograma físico-financeiro vinculadas ao cumprimento de metas de resultado – sendo vedada sistemática de remuneração atrelada a preços unitários ou quantidades de itens unitários executados.</w:t>
      </w:r>
    </w:p>
    <w:p w14:paraId="42DBCF3E" w14:textId="54EA1FA8" w:rsidR="00690EB3" w:rsidRPr="006A6D8E" w:rsidRDefault="00690EB3" w:rsidP="006A6D8E">
      <w:pPr>
        <w:pStyle w:val="TJTRSubTT-Nv2"/>
        <w:numPr>
          <w:ilvl w:val="1"/>
          <w:numId w:val="7"/>
        </w:numPr>
        <w:spacing w:before="0" w:after="360"/>
        <w:ind w:left="0" w:firstLine="0"/>
        <w:rPr>
          <w:szCs w:val="24"/>
        </w:rPr>
      </w:pPr>
      <w:bookmarkStart w:id="72" w:name="_Toc142556212"/>
      <w:r w:rsidRPr="006A6D8E">
        <w:rPr>
          <w:szCs w:val="24"/>
        </w:rPr>
        <w:t>Empreitada Integral</w:t>
      </w:r>
      <w:bookmarkEnd w:id="72"/>
      <w:r w:rsidRPr="006A6D8E">
        <w:rPr>
          <w:szCs w:val="24"/>
        </w:rPr>
        <w:t xml:space="preserve"> </w:t>
      </w:r>
    </w:p>
    <w:p w14:paraId="60794C2B" w14:textId="636DBF68" w:rsidR="00A61CFB" w:rsidRPr="00D875A9" w:rsidRDefault="00A61CFB" w:rsidP="00D875A9">
      <w:pPr>
        <w:pStyle w:val="ApTexto"/>
        <w:spacing w:before="0" w:after="360"/>
        <w:rPr>
          <w:lang w:eastAsia="pt-BR"/>
        </w:rPr>
      </w:pPr>
      <w:r w:rsidRPr="00D875A9">
        <w:rPr>
          <w:lang w:eastAsia="pt-BR"/>
        </w:rPr>
        <w:t xml:space="preserve">Quando adotado o regime de </w:t>
      </w:r>
      <w:r w:rsidRPr="00D875A9">
        <w:rPr>
          <w:b/>
          <w:bCs/>
          <w:lang w:eastAsia="pt-BR"/>
        </w:rPr>
        <w:t>empreitada integral</w:t>
      </w:r>
      <w:r w:rsidRPr="00D875A9">
        <w:rPr>
          <w:lang w:eastAsia="pt-BR"/>
        </w:rPr>
        <w:t>, o empreendimento é contratado em sua integralidade, compreendendo todas as etapas, serviços e instalações necessários. O contratado se responsabiliza pela entrega do empreendimento ao contratante em condições de entrada em operação, com características adequadas às finalidades para as quais foi contratado e atendidos os requisitos técnicos e legais para sua utilização com segurança estrutural e operacional.</w:t>
      </w:r>
    </w:p>
    <w:p w14:paraId="286C03B6" w14:textId="45298F0C" w:rsidR="00A61CFB" w:rsidRPr="00D875A9" w:rsidRDefault="00A61CFB" w:rsidP="00D875A9">
      <w:pPr>
        <w:pStyle w:val="ApTexto"/>
        <w:spacing w:before="0" w:after="360"/>
        <w:rPr>
          <w:lang w:eastAsia="pt-BR"/>
        </w:rPr>
      </w:pPr>
      <w:r w:rsidRPr="00D875A9">
        <w:rPr>
          <w:lang w:eastAsia="pt-BR"/>
        </w:rPr>
        <w:lastRenderedPageBreak/>
        <w:t xml:space="preserve">Nesse regime, a Licitação abrange a execução do objeto e o fornecimento e instalação de bens pelo contratado. O objeto deve ser entregue pelo contratado totalmente concluído e com os bens (máquinas, equipamentos, etc.) instalados e em perfeitas condições de uso e funcionamento. De acordo com Marçal </w:t>
      </w:r>
      <w:proofErr w:type="spellStart"/>
      <w:r w:rsidRPr="00D875A9">
        <w:rPr>
          <w:lang w:eastAsia="pt-BR"/>
        </w:rPr>
        <w:t>Justen</w:t>
      </w:r>
      <w:proofErr w:type="spellEnd"/>
      <w:r w:rsidRPr="00D875A9">
        <w:rPr>
          <w:lang w:eastAsia="pt-BR"/>
        </w:rPr>
        <w:t xml:space="preserve"> Filho</w:t>
      </w:r>
      <w:r w:rsidRPr="00D875A9">
        <w:rPr>
          <w:rStyle w:val="Refdenotaderodap"/>
          <w:color w:val="000000" w:themeColor="text1"/>
          <w:lang w:eastAsia="pt-BR"/>
        </w:rPr>
        <w:footnoteReference w:id="3"/>
      </w:r>
      <w:r w:rsidRPr="00D875A9">
        <w:rPr>
          <w:lang w:eastAsia="pt-BR"/>
        </w:rPr>
        <w:t>:</w:t>
      </w:r>
    </w:p>
    <w:p w14:paraId="15160A3D" w14:textId="7BD02910" w:rsidR="00295029" w:rsidRPr="00F87872" w:rsidRDefault="00A61CFB" w:rsidP="00F87872">
      <w:pPr>
        <w:pStyle w:val="ApCitao"/>
        <w:spacing w:before="0" w:after="360"/>
        <w:ind w:left="2552" w:firstLine="0"/>
        <w:rPr>
          <w:sz w:val="22"/>
          <w:szCs w:val="22"/>
        </w:rPr>
      </w:pPr>
      <w:r w:rsidRPr="00F87872">
        <w:rPr>
          <w:sz w:val="22"/>
          <w:szCs w:val="22"/>
        </w:rPr>
        <w:t xml:space="preserve">O regime de empreitada integral é utilizado para situações que envolvam a implantação de uma unidade operacional, em que a infraestrutura física é necessária, mas não suficiente para satisfazer o interesse da Administração. </w:t>
      </w:r>
    </w:p>
    <w:p w14:paraId="212B574E" w14:textId="0AD47EED" w:rsidR="00A61CFB" w:rsidRPr="00F87872" w:rsidRDefault="00A61CFB" w:rsidP="00F87872">
      <w:pPr>
        <w:pStyle w:val="ApCitao"/>
        <w:spacing w:before="0" w:after="360"/>
        <w:ind w:left="2552" w:firstLine="0"/>
        <w:rPr>
          <w:sz w:val="22"/>
          <w:szCs w:val="22"/>
        </w:rPr>
      </w:pPr>
      <w:r w:rsidRPr="00F87872">
        <w:rPr>
          <w:sz w:val="22"/>
          <w:szCs w:val="22"/>
        </w:rPr>
        <w:t>O objeto visado pela contratação é a construção da infraestrutura e a implementação de serviços e outras atividades indispensáveis ao desempenho de uma atividade operacional dinâmica.</w:t>
      </w:r>
    </w:p>
    <w:p w14:paraId="16C10D5A" w14:textId="09938C39" w:rsidR="00A61CFB" w:rsidRPr="00D875A9" w:rsidRDefault="00A61CFB" w:rsidP="00D875A9">
      <w:pPr>
        <w:pStyle w:val="ApTexto"/>
        <w:spacing w:before="0" w:after="360"/>
      </w:pPr>
      <w:r w:rsidRPr="00D875A9">
        <w:t xml:space="preserve">Esse regime deve ser adotado quando a necessidade da Administração vai além da entrega da infraestrutura e envolve também a plena operacionalização do empreendimento de acordo com parâmetros previamente definidos. Em outras palavras, o empreendimento deve ser entregue em pleno funcionamento. </w:t>
      </w:r>
    </w:p>
    <w:p w14:paraId="0729EA26" w14:textId="7F3FF9BC" w:rsidR="00A61CFB" w:rsidRPr="00D875A9" w:rsidRDefault="00A61CFB" w:rsidP="00D875A9">
      <w:pPr>
        <w:pStyle w:val="ApTexto"/>
        <w:spacing w:before="0" w:after="360"/>
      </w:pPr>
      <w:r w:rsidRPr="00D875A9">
        <w:t>Assim, a empreitada integral é o regime adequado para projetos vultuosos e complexos, que demandem, para o seu pleno funcionamento, a perfeita integração entre obras, equipamentos e instalações. Importante destacar que não é o fornecimento de qualquer equipamento ou mobiliário que justifica a adoção de empreitada integral, mas apenas aqueles em que possuam um grau de integração atípico com a infraestrutura da obra</w:t>
      </w:r>
      <w:r w:rsidRPr="00D875A9">
        <w:rPr>
          <w:rStyle w:val="Refdenotaderodap"/>
          <w:color w:val="000000" w:themeColor="text1"/>
        </w:rPr>
        <w:footnoteReference w:id="4"/>
      </w:r>
      <w:r w:rsidRPr="00D875A9">
        <w:t>. Do contrário, deverão ser contratados separadamente, pois a adoção indevida desse regime pode ferir o princípio do parcelamento e, por consequência, da ampla competitividade.</w:t>
      </w:r>
    </w:p>
    <w:p w14:paraId="6E086CF9" w14:textId="316A3991" w:rsidR="00A61CFB" w:rsidRPr="00D875A9" w:rsidRDefault="00A61CFB" w:rsidP="00D875A9">
      <w:pPr>
        <w:pStyle w:val="ApTexto"/>
        <w:spacing w:before="0" w:after="360"/>
      </w:pPr>
      <w:r w:rsidRPr="00D875A9">
        <w:t xml:space="preserve">Nos casos em que a Administração vislumbre problemas que possam ser revelados apenas quando efetivamente promovida a etapa de funcionamento do empreendimento, é conveniente a adoção da empreitada integral, pois o contratado somente se desincumbirá de suas obrigações quando o empreendimento estiver em pleno funcionamento. </w:t>
      </w:r>
    </w:p>
    <w:p w14:paraId="320A4F17" w14:textId="2F74C7F3" w:rsidR="00625E3E" w:rsidRPr="006A6D8E" w:rsidRDefault="004D651B" w:rsidP="006A6D8E">
      <w:pPr>
        <w:pStyle w:val="TJTRSubTT-Nv2"/>
        <w:numPr>
          <w:ilvl w:val="1"/>
          <w:numId w:val="7"/>
        </w:numPr>
        <w:spacing w:before="0" w:after="360"/>
        <w:ind w:left="0" w:firstLine="0"/>
        <w:rPr>
          <w:szCs w:val="24"/>
        </w:rPr>
      </w:pPr>
      <w:bookmarkStart w:id="73" w:name="_Toc142556213"/>
      <w:r w:rsidRPr="006A6D8E">
        <w:rPr>
          <w:szCs w:val="24"/>
        </w:rPr>
        <w:t>Contratação Por Tarefa</w:t>
      </w:r>
      <w:bookmarkEnd w:id="73"/>
    </w:p>
    <w:p w14:paraId="161EB1C7" w14:textId="77777777" w:rsidR="006A6D8E" w:rsidRPr="006A6D8E" w:rsidRDefault="006A6D8E" w:rsidP="006A6D8E">
      <w:pPr>
        <w:pStyle w:val="ApTexto"/>
        <w:spacing w:before="0" w:after="360"/>
      </w:pPr>
      <w:r w:rsidRPr="006A6D8E">
        <w:t xml:space="preserve">Na </w:t>
      </w:r>
      <w:r w:rsidRPr="006A6D8E">
        <w:rPr>
          <w:b/>
          <w:bCs/>
        </w:rPr>
        <w:t>contratação por tarefa</w:t>
      </w:r>
      <w:r w:rsidRPr="006A6D8E">
        <w:t>, contrata-se mão de obra para pequenos trabalhos por preço certo, com ou sem fornecimento de materiais.</w:t>
      </w:r>
    </w:p>
    <w:p w14:paraId="3296E74D" w14:textId="77777777" w:rsidR="006A6D8E" w:rsidRPr="006A6D8E" w:rsidRDefault="006A6D8E" w:rsidP="006A6D8E">
      <w:pPr>
        <w:pStyle w:val="ApTexto"/>
        <w:spacing w:before="0" w:after="360"/>
      </w:pPr>
      <w:r w:rsidRPr="006A6D8E">
        <w:t>Pode abranger a contratação de prestadores como pedreiro, azulejista, encanador, carpinteiro, pintor etc., para executarem serviços isolados de menor dimensão.</w:t>
      </w:r>
    </w:p>
    <w:p w14:paraId="62343DCD" w14:textId="77777777" w:rsidR="006A6D8E" w:rsidRPr="006A6D8E" w:rsidRDefault="006A6D8E" w:rsidP="006A6D8E">
      <w:pPr>
        <w:pStyle w:val="ApTexto"/>
        <w:spacing w:before="0" w:after="360"/>
      </w:pPr>
      <w:r w:rsidRPr="006A6D8E">
        <w:lastRenderedPageBreak/>
        <w:t>“Assim, a contratação por tarefa costuma ocorrer naqueles casos em que o prestador do serviço atua individualmente, sem o concurso de equipamentos sofisticados, com remuneração de valor reduzido”</w:t>
      </w:r>
      <w:r w:rsidRPr="006A6D8E">
        <w:rPr>
          <w:rStyle w:val="Refdenotaderodap"/>
        </w:rPr>
        <w:footnoteReference w:id="5"/>
      </w:r>
      <w:r w:rsidRPr="006A6D8E">
        <w:t>.</w:t>
      </w:r>
    </w:p>
    <w:p w14:paraId="0933D098" w14:textId="5D466B3F" w:rsidR="006A6D8E" w:rsidRPr="006A6D8E" w:rsidRDefault="006A6D8E" w:rsidP="006A6D8E">
      <w:pPr>
        <w:pStyle w:val="ApTexto"/>
        <w:spacing w:before="0" w:after="360"/>
        <w:rPr>
          <w:color w:val="000000"/>
        </w:rPr>
      </w:pPr>
      <w:r w:rsidRPr="006A6D8E">
        <w:t>Fazendo o paralelo com a participação de pessoas físicas na licitação, não se aplica quando a contratação exigir estrutura mínima, com equipamentos, instalações e equipe de profissionais ou corpo técnico para a execução do objeto incompatíveis com a natureza profissional da pessoa física, conforme demonstrado em estudo técnico preliminar (</w:t>
      </w:r>
      <w:r w:rsidR="00B37AB5">
        <w:rPr>
          <w:rFonts w:eastAsia="Times New Roman"/>
          <w:color w:val="000000"/>
          <w:lang w:eastAsia="pt-BR"/>
        </w:rPr>
        <w:t xml:space="preserve">Decreto Municipal </w:t>
      </w:r>
      <w:r w:rsidRPr="006A6D8E">
        <w:rPr>
          <w:rFonts w:eastAsia="Times New Roman"/>
          <w:color w:val="000000"/>
          <w:lang w:eastAsia="pt-BR"/>
        </w:rPr>
        <w:t xml:space="preserve">nº </w:t>
      </w:r>
      <w:r w:rsidR="00B37AB5">
        <w:rPr>
          <w:rFonts w:eastAsia="Times New Roman"/>
          <w:color w:val="000000"/>
          <w:lang w:eastAsia="pt-BR"/>
        </w:rPr>
        <w:t>160</w:t>
      </w:r>
      <w:r w:rsidRPr="006A6D8E">
        <w:rPr>
          <w:color w:val="000000"/>
        </w:rPr>
        <w:t>/</w:t>
      </w:r>
      <w:r w:rsidRPr="006A6D8E">
        <w:rPr>
          <w:rFonts w:eastAsia="Times New Roman"/>
          <w:color w:val="000000"/>
          <w:lang w:eastAsia="pt-BR"/>
        </w:rPr>
        <w:t>202</w:t>
      </w:r>
      <w:r w:rsidR="00B37AB5">
        <w:rPr>
          <w:rFonts w:eastAsia="Times New Roman"/>
          <w:color w:val="000000"/>
          <w:lang w:eastAsia="pt-BR"/>
        </w:rPr>
        <w:t>3</w:t>
      </w:r>
      <w:r w:rsidRPr="006A6D8E">
        <w:rPr>
          <w:color w:val="000000"/>
        </w:rPr>
        <w:t>).</w:t>
      </w:r>
    </w:p>
    <w:p w14:paraId="2E2771D2" w14:textId="23D61902" w:rsidR="006A6D8E" w:rsidRPr="00D875A9" w:rsidRDefault="006A6D8E" w:rsidP="006A6D8E">
      <w:pPr>
        <w:pStyle w:val="ApTexto"/>
        <w:spacing w:before="0" w:after="360"/>
      </w:pPr>
      <w:r w:rsidRPr="006A6D8E">
        <w:t>Portanto, não se recomenda a contratação por tarefa para objetos de maior complexidade, que extrapolem a atuação cotidiana do prestador individual.</w:t>
      </w:r>
    </w:p>
    <w:p w14:paraId="7FABDC81" w14:textId="731CACA2" w:rsidR="004D651B" w:rsidRPr="006A6D8E" w:rsidRDefault="004D651B" w:rsidP="006A6D8E">
      <w:pPr>
        <w:pStyle w:val="TJTRSubTT-Nv2"/>
        <w:numPr>
          <w:ilvl w:val="1"/>
          <w:numId w:val="7"/>
        </w:numPr>
        <w:spacing w:before="0" w:after="360"/>
        <w:ind w:left="0" w:firstLine="0"/>
        <w:rPr>
          <w:szCs w:val="24"/>
        </w:rPr>
      </w:pPr>
      <w:bookmarkStart w:id="74" w:name="_Toc142556214"/>
      <w:r w:rsidRPr="006A6D8E">
        <w:rPr>
          <w:szCs w:val="24"/>
        </w:rPr>
        <w:t>Contratação Integrada</w:t>
      </w:r>
      <w:bookmarkEnd w:id="74"/>
    </w:p>
    <w:p w14:paraId="15E75AAE" w14:textId="77777777" w:rsidR="006A6D8E" w:rsidRPr="006A6D8E" w:rsidRDefault="006A6D8E" w:rsidP="006A6D8E">
      <w:pPr>
        <w:pStyle w:val="ApTexto"/>
        <w:spacing w:before="0" w:after="360"/>
      </w:pPr>
      <w:r w:rsidRPr="006A6D8E">
        <w:t xml:space="preserve">Na </w:t>
      </w:r>
      <w:r w:rsidRPr="006A6D8E">
        <w:rPr>
          <w:b/>
          <w:bCs/>
        </w:rPr>
        <w:t>contratação integrada</w:t>
      </w:r>
      <w:r w:rsidRPr="006A6D8E">
        <w:t>, o contratado é responsável não somente por executar a obra ou serviço de engenharia, mas também por elaborar e desenvolver o projeto básico e o projeto executivo – além de fornecer bens ou prestar serviços especiais e realizar montagem, teste, pré-operação e as demais operações necessárias e suficientes para a entrega final do objeto.</w:t>
      </w:r>
      <w:bookmarkStart w:id="75" w:name="art6xxx"/>
      <w:bookmarkEnd w:id="75"/>
    </w:p>
    <w:p w14:paraId="678E6FB1" w14:textId="77777777" w:rsidR="006A6D8E" w:rsidRPr="006A6D8E" w:rsidRDefault="006A6D8E" w:rsidP="006A6D8E">
      <w:pPr>
        <w:pStyle w:val="ApTexto"/>
        <w:spacing w:before="0" w:after="360"/>
      </w:pPr>
      <w:r w:rsidRPr="006A6D8E">
        <w:t>A Administração produz apenas o anteprojeto – peça técnica com todos os subsídios necessários à elaboração do projeto básico, contendo, dentre outros elementos, a proposta de concepção da obra e o memorial descritivo dos elementos da edificação, dos componentes construtivos e dos materiais de construção, de forma a estabelecer padrões mínimos para a contratação.</w:t>
      </w:r>
    </w:p>
    <w:p w14:paraId="5E5FD920" w14:textId="77777777" w:rsidR="006A6D8E" w:rsidRPr="006A6D8E" w:rsidRDefault="006A6D8E" w:rsidP="006A6D8E">
      <w:pPr>
        <w:pStyle w:val="ApTexto"/>
        <w:spacing w:before="0" w:after="360"/>
      </w:pPr>
      <w:r w:rsidRPr="006A6D8E">
        <w:t xml:space="preserve">O contratado é responsável por escolher as soluções técnicas reputadas mais compatíveis com as diretrizes fixadas para o empreendimento – cabendo à Administração </w:t>
      </w:r>
      <w:bookmarkStart w:id="76" w:name="art6xxiva"/>
      <w:bookmarkStart w:id="77" w:name="art6xxiv.i"/>
      <w:bookmarkStart w:id="78" w:name="art6xxv"/>
      <w:bookmarkEnd w:id="76"/>
      <w:bookmarkEnd w:id="77"/>
      <w:bookmarkEnd w:id="78"/>
      <w:r w:rsidRPr="006A6D8E">
        <w:t>aprovar o projeto básico elaborado pelo contratado, avaliando sua adequação em relação aos parâmetros definidos no edital e conformidade com as normas técnicas, vedadas alterações que reduzam sua qualidade ou vida útil.</w:t>
      </w:r>
      <w:bookmarkStart w:id="79" w:name="art46§3"/>
      <w:bookmarkEnd w:id="79"/>
    </w:p>
    <w:p w14:paraId="1E199C2F" w14:textId="77777777" w:rsidR="006A6D8E" w:rsidRPr="006A6D8E" w:rsidRDefault="006A6D8E" w:rsidP="006A6D8E">
      <w:pPr>
        <w:pStyle w:val="ApTexto"/>
        <w:spacing w:before="0" w:after="360"/>
      </w:pPr>
      <w:r w:rsidRPr="006A6D8E">
        <w:t>Em razão dos maiores riscos envolvidos, a contratação integrada deve obrigatoriamente contemplar matriz de alocação de riscos entre o contratante e o contratado – mantida a responsabilidade integral do contratado pelos riscos associados ao projeto básico por ele elaborado.</w:t>
      </w:r>
    </w:p>
    <w:p w14:paraId="57897EB4" w14:textId="77777777" w:rsidR="006A6D8E" w:rsidRPr="006A6D8E" w:rsidRDefault="006A6D8E" w:rsidP="006A6D8E">
      <w:pPr>
        <w:pStyle w:val="ApTexto"/>
        <w:spacing w:before="0" w:after="360"/>
      </w:pPr>
      <w:r w:rsidRPr="006A6D8E">
        <w:t xml:space="preserve">Assim, até por seu potencial para encarecer a contratação, o regime não se destina aos objetos cotidianos – mas sim </w:t>
      </w:r>
      <w:r w:rsidRPr="006A6D8E">
        <w:rPr>
          <w:rFonts w:eastAsia="Times New Roman"/>
        </w:rPr>
        <w:t xml:space="preserve">de natureza complexa, </w:t>
      </w:r>
      <w:r w:rsidRPr="006A6D8E">
        <w:t xml:space="preserve">“quando não houver solução técnica determinada para a execução e colocação em operação do empreendimento ou nos casos em </w:t>
      </w:r>
      <w:r w:rsidRPr="006A6D8E">
        <w:lastRenderedPageBreak/>
        <w:t>que a complexidade das circunstâncias conduzir à impossibilidade de definir com segurança a solução técnica mais satisfatória”</w:t>
      </w:r>
      <w:r w:rsidRPr="006A6D8E">
        <w:rPr>
          <w:rStyle w:val="Refdenotaderodap"/>
        </w:rPr>
        <w:footnoteReference w:id="6"/>
      </w:r>
      <w:r w:rsidRPr="006A6D8E">
        <w:t>.</w:t>
      </w:r>
    </w:p>
    <w:p w14:paraId="50CEB21B" w14:textId="77777777" w:rsidR="006A6D8E" w:rsidRPr="006A6D8E" w:rsidRDefault="006A6D8E" w:rsidP="006A6D8E">
      <w:pPr>
        <w:pStyle w:val="ApTexto"/>
        <w:spacing w:before="0" w:after="360"/>
      </w:pPr>
      <w:r w:rsidRPr="006A6D8E">
        <w:rPr>
          <w:rFonts w:eastAsia="Times New Roman"/>
        </w:rPr>
        <w:t xml:space="preserve">Prossegue Marçal </w:t>
      </w:r>
      <w:proofErr w:type="spellStart"/>
      <w:r w:rsidRPr="006A6D8E">
        <w:rPr>
          <w:rFonts w:eastAsia="Times New Roman"/>
        </w:rPr>
        <w:t>Justen</w:t>
      </w:r>
      <w:proofErr w:type="spellEnd"/>
      <w:r w:rsidRPr="006A6D8E">
        <w:rPr>
          <w:rFonts w:eastAsia="Times New Roman"/>
        </w:rPr>
        <w:t xml:space="preserve"> Filho:</w:t>
      </w:r>
    </w:p>
    <w:p w14:paraId="2493932C" w14:textId="77777777" w:rsidR="006A6D8E" w:rsidRPr="006A6D8E" w:rsidRDefault="006A6D8E" w:rsidP="006A6D8E">
      <w:pPr>
        <w:pStyle w:val="ApCitao"/>
        <w:spacing w:before="0" w:after="360"/>
        <w:ind w:left="2552" w:firstLine="0"/>
        <w:rPr>
          <w:sz w:val="24"/>
        </w:rPr>
      </w:pPr>
      <w:r w:rsidRPr="006A6D8E">
        <w:rPr>
          <w:sz w:val="24"/>
        </w:rPr>
        <w:t>A vantajosidade econômica da contratação integrada apenas se verifica nas situações em que há complexidade e problemas envolvidos na execução do objeto. A dimensão dos problemas acarreta incertezas e dificuldades que se refletirão no preço, mas pode ser mais eficiente transferir para o particular o encargo de conceber a solução e executá-la do que tentar desenvolver uma solução satisfatória no âmbito da própria Administração.</w:t>
      </w:r>
    </w:p>
    <w:p w14:paraId="727BF191" w14:textId="77777777" w:rsidR="006A6D8E" w:rsidRDefault="006A6D8E" w:rsidP="006A6D8E">
      <w:pPr>
        <w:pStyle w:val="ApTexto"/>
        <w:spacing w:before="0" w:after="360"/>
        <w:rPr>
          <w:rFonts w:eastAsia="Times New Roman"/>
        </w:rPr>
      </w:pPr>
      <w:r w:rsidRPr="006A6D8E">
        <w:rPr>
          <w:rFonts w:eastAsia="Times New Roman"/>
        </w:rPr>
        <w:t>Dessa forma, embora a Lei nº 14.133/2021 não preveja requisitos explícitos para adoção do regime, “é necessário evidenciar que a complexidade da situação e a incerteza sobre o atingimento do resultado desejado mediante as soluções de empreitada tradicional geram riscos de insucesso relevante, além de acarretarem custos econômicos elevados. Deve ser demonstrado que a assunção por um particular do encargo de conceber o empreendimento, com todos os riscos inerentes, propiciará uma solução economicamente mais vantajosa do que aquela que seria obtida mediante uma modalidade distinta de empreitada”.</w:t>
      </w:r>
    </w:p>
    <w:p w14:paraId="31BE7CBD" w14:textId="2FCA7B01" w:rsidR="004D651B" w:rsidRPr="006A6D8E" w:rsidRDefault="004D651B" w:rsidP="006A6D8E">
      <w:pPr>
        <w:pStyle w:val="TJTRSubTT-Nv2"/>
        <w:numPr>
          <w:ilvl w:val="1"/>
          <w:numId w:val="7"/>
        </w:numPr>
        <w:spacing w:before="0" w:after="360"/>
        <w:ind w:left="0" w:firstLine="0"/>
        <w:rPr>
          <w:szCs w:val="24"/>
        </w:rPr>
      </w:pPr>
      <w:bookmarkStart w:id="80" w:name="_Toc142556215"/>
      <w:r w:rsidRPr="006A6D8E">
        <w:rPr>
          <w:szCs w:val="24"/>
        </w:rPr>
        <w:t xml:space="preserve">Contratação </w:t>
      </w:r>
      <w:proofErr w:type="spellStart"/>
      <w:r w:rsidRPr="006A6D8E">
        <w:rPr>
          <w:szCs w:val="24"/>
        </w:rPr>
        <w:t>Semi-Integrada</w:t>
      </w:r>
      <w:bookmarkEnd w:id="80"/>
      <w:proofErr w:type="spellEnd"/>
    </w:p>
    <w:p w14:paraId="0E0F6E71" w14:textId="77777777" w:rsidR="006A6D8E" w:rsidRPr="006A6D8E" w:rsidRDefault="006A6D8E" w:rsidP="006A6D8E">
      <w:pPr>
        <w:pStyle w:val="ApTexto"/>
        <w:spacing w:before="0" w:after="360"/>
        <w:rPr>
          <w:rFonts w:eastAsia="Times New Roman"/>
        </w:rPr>
      </w:pPr>
      <w:r w:rsidRPr="006A6D8E">
        <w:rPr>
          <w:rFonts w:eastAsia="Times New Roman"/>
        </w:rPr>
        <w:t xml:space="preserve">A contratação </w:t>
      </w:r>
      <w:proofErr w:type="spellStart"/>
      <w:r w:rsidRPr="006A6D8E">
        <w:rPr>
          <w:rFonts w:eastAsia="Times New Roman"/>
        </w:rPr>
        <w:t>semi-integrada</w:t>
      </w:r>
      <w:proofErr w:type="spellEnd"/>
      <w:r w:rsidRPr="006A6D8E">
        <w:rPr>
          <w:rFonts w:eastAsia="Times New Roman"/>
        </w:rPr>
        <w:t xml:space="preserve"> aproxima-se amplamente da contratação integrada – porém, como diferença essencial, a Administração elabora o projeto básico da licitação, atribuindo ao contratado somente a responsabilidade pela elaboração do projeto executivo.</w:t>
      </w:r>
    </w:p>
    <w:p w14:paraId="010CA951" w14:textId="77777777" w:rsidR="006A6D8E" w:rsidRPr="006A6D8E" w:rsidRDefault="006A6D8E" w:rsidP="006A6D8E">
      <w:pPr>
        <w:pStyle w:val="ApTexto"/>
        <w:spacing w:before="0" w:after="360"/>
        <w:rPr>
          <w:rFonts w:eastAsia="Times New Roman"/>
        </w:rPr>
      </w:pPr>
      <w:r w:rsidRPr="006A6D8E">
        <w:rPr>
          <w:rFonts w:eastAsia="Times New Roman"/>
        </w:rPr>
        <w:t>Ainda assim, mediante prévia autorização da Administração, o projeto básico poderá ser alterado, desde que demonstrada a superioridade das inovações propostas pelo contratado em termos de redução de custos, de aumento da qualidade, de redução do prazo de execução ou de facilidade de manutenção ou operação – assumindo o contratado a responsabilidade integral pelos riscos associados à alteração do projeto básico.</w:t>
      </w:r>
    </w:p>
    <w:p w14:paraId="05DDA29E" w14:textId="15E7BDFE" w:rsidR="006A6D8E" w:rsidRPr="006A6D8E" w:rsidRDefault="006A6D8E" w:rsidP="006A6D8E">
      <w:pPr>
        <w:pStyle w:val="ApTexto"/>
        <w:spacing w:before="0" w:after="360"/>
        <w:rPr>
          <w:rFonts w:eastAsia="Times New Roman"/>
        </w:rPr>
      </w:pPr>
      <w:r w:rsidRPr="006A6D8E">
        <w:rPr>
          <w:rFonts w:eastAsia="Times New Roman"/>
        </w:rPr>
        <w:t xml:space="preserve">De resto, aplicam-se à contratação </w:t>
      </w:r>
      <w:proofErr w:type="spellStart"/>
      <w:r w:rsidRPr="006A6D8E">
        <w:rPr>
          <w:rFonts w:eastAsia="Times New Roman"/>
        </w:rPr>
        <w:t>semi-integrada</w:t>
      </w:r>
      <w:proofErr w:type="spellEnd"/>
      <w:r w:rsidRPr="006A6D8E">
        <w:rPr>
          <w:rFonts w:eastAsia="Times New Roman"/>
        </w:rPr>
        <w:t xml:space="preserve"> as mesmas observações associadas à contratação integrada, especialmente quanto à limitação de sua utilização aos objetos complexos.</w:t>
      </w:r>
    </w:p>
    <w:p w14:paraId="2D20011C" w14:textId="6A99D024" w:rsidR="004D651B" w:rsidRPr="006A6D8E" w:rsidRDefault="004D651B" w:rsidP="006A6D8E">
      <w:pPr>
        <w:pStyle w:val="TJTRSubTT-Nv2"/>
        <w:numPr>
          <w:ilvl w:val="1"/>
          <w:numId w:val="7"/>
        </w:numPr>
        <w:spacing w:before="0" w:after="360"/>
        <w:ind w:left="0" w:firstLine="0"/>
        <w:rPr>
          <w:szCs w:val="24"/>
        </w:rPr>
      </w:pPr>
      <w:bookmarkStart w:id="81" w:name="_Toc142556216"/>
      <w:r w:rsidRPr="006A6D8E">
        <w:rPr>
          <w:szCs w:val="24"/>
        </w:rPr>
        <w:t>Fornecimento e prestação de serviço associado</w:t>
      </w:r>
      <w:bookmarkEnd w:id="81"/>
    </w:p>
    <w:p w14:paraId="76BF5009" w14:textId="77777777" w:rsidR="006A6D8E" w:rsidRPr="006A6D8E" w:rsidRDefault="006A6D8E" w:rsidP="006A6D8E">
      <w:pPr>
        <w:pStyle w:val="ApTexto"/>
        <w:spacing w:before="0" w:after="360"/>
      </w:pPr>
      <w:r w:rsidRPr="006A6D8E">
        <w:t>Nesse regime, além do fornecimento do objeto, o contratado responsabiliza-se por sua operação, manutenção ou ambas, por tempo determinado.</w:t>
      </w:r>
    </w:p>
    <w:p w14:paraId="246E62A8" w14:textId="77777777" w:rsidR="006A6D8E" w:rsidRPr="006A6D8E" w:rsidRDefault="006A6D8E" w:rsidP="006A6D8E">
      <w:pPr>
        <w:pStyle w:val="ApTexto"/>
        <w:spacing w:before="0" w:after="360"/>
        <w:rPr>
          <w:rFonts w:eastAsia="Times New Roman"/>
          <w:lang w:eastAsia="pt-BR"/>
        </w:rPr>
      </w:pPr>
      <w:r w:rsidRPr="006A6D8E">
        <w:lastRenderedPageBreak/>
        <w:t xml:space="preserve">No exemplo de Marçal </w:t>
      </w:r>
      <w:proofErr w:type="spellStart"/>
      <w:r w:rsidRPr="006A6D8E">
        <w:t>Justen</w:t>
      </w:r>
      <w:proofErr w:type="spellEnd"/>
      <w:r w:rsidRPr="006A6D8E">
        <w:t xml:space="preserve"> Filho</w:t>
      </w:r>
      <w:r w:rsidRPr="006A6D8E">
        <w:rPr>
          <w:rStyle w:val="Refdenotaderodap"/>
        </w:rPr>
        <w:footnoteReference w:id="7"/>
      </w:r>
      <w:r w:rsidRPr="006A6D8E">
        <w:t xml:space="preserve">, seria adequado para contratar </w:t>
      </w:r>
      <w:r w:rsidRPr="006A6D8E">
        <w:rPr>
          <w:rFonts w:eastAsia="Times New Roman"/>
          <w:lang w:eastAsia="pt-BR"/>
        </w:rPr>
        <w:t>a construção de um edifício inteligente, com fornecimento dos equipamentos pertinentes e operação das diversas funcionalidades existentes – já que contratar em separado cada objeto poderia gerar complexidade de gestão e eventualmente elevação de custos:</w:t>
      </w:r>
    </w:p>
    <w:p w14:paraId="39CB8466" w14:textId="77777777" w:rsidR="006A6D8E" w:rsidRPr="006A6D8E" w:rsidRDefault="006A6D8E" w:rsidP="006A6D8E">
      <w:pPr>
        <w:pStyle w:val="ApTexto"/>
        <w:spacing w:before="0" w:after="360"/>
        <w:ind w:left="2552" w:firstLine="0"/>
      </w:pPr>
      <w:r w:rsidRPr="006A6D8E">
        <w:rPr>
          <w:rFonts w:eastAsia="Times New Roman"/>
          <w:lang w:eastAsia="pt-BR"/>
        </w:rPr>
        <w:t>Haveria dificuldade na adequação entre a construção, os equipamentos e a sua operação. Ao promover uma contratação única e abrangente, surge a obrigação de o particular conceber o edifício tomando em vista as peculiaridades dos equipamentos e as funcionalidades no tocante à prestação do serviço. O particular terá o dever de fornecer os equipamentos mais compatíveis com as características do edifício e com os serviços de operação ou manutenção. E se pode presumir que os custos de operação e de manutenção serão muito mais reduzidos, em vista da existência de um mesmo sujeito a executar todas as prestações.</w:t>
      </w:r>
    </w:p>
    <w:p w14:paraId="4FA30DD4" w14:textId="77777777" w:rsidR="006A6D8E" w:rsidRPr="006A6D8E" w:rsidRDefault="006A6D8E" w:rsidP="006A6D8E">
      <w:pPr>
        <w:pStyle w:val="ApTexto"/>
        <w:spacing w:before="0" w:after="360"/>
      </w:pPr>
      <w:r w:rsidRPr="006A6D8E">
        <w:rPr>
          <w:rFonts w:eastAsia="Times New Roman"/>
          <w:lang w:eastAsia="pt-BR"/>
        </w:rPr>
        <w:t>Porém, alerta o autor, “somente é cabível adotar esse modelo de contratação quando as diversas prestações comportarem efetiva integração entre si e se evidenciar que a contratação isolada acarretará perdas sob o prisma técnico e econômico. Portanto, não existe autonomia para promover contratação cumulativa de objetos autônomos entre si, o que configuraria opção restritiva da amplitude da competição”.</w:t>
      </w:r>
    </w:p>
    <w:p w14:paraId="79D5AFCA" w14:textId="595B5BAD" w:rsidR="7F733C46" w:rsidRPr="006A6D8E" w:rsidRDefault="69E779A3" w:rsidP="006A6D8E">
      <w:pPr>
        <w:pStyle w:val="TJTRSubTT-Nv2"/>
        <w:numPr>
          <w:ilvl w:val="1"/>
          <w:numId w:val="7"/>
        </w:numPr>
        <w:spacing w:before="0" w:after="360"/>
        <w:ind w:left="0" w:firstLine="0"/>
        <w:rPr>
          <w:szCs w:val="24"/>
        </w:rPr>
      </w:pPr>
      <w:bookmarkStart w:id="82" w:name="_Toc142556217"/>
      <w:r w:rsidRPr="006A6D8E">
        <w:rPr>
          <w:szCs w:val="24"/>
        </w:rPr>
        <w:t>Subestimativas e superestimativas técnicas relevantes</w:t>
      </w:r>
      <w:bookmarkEnd w:id="82"/>
    </w:p>
    <w:p w14:paraId="2C26B954" w14:textId="312EB44F" w:rsidR="37B18B14" w:rsidRPr="00B105EE" w:rsidRDefault="2D5597E0" w:rsidP="00B105EE">
      <w:pPr>
        <w:pStyle w:val="ApTexto"/>
        <w:spacing w:before="0" w:after="360"/>
      </w:pPr>
      <w:r w:rsidRPr="00B105EE">
        <w:t xml:space="preserve">A definição das chamadas "subestimativas e superestimativas </w:t>
      </w:r>
      <w:r w:rsidR="00F87872">
        <w:t>relevantes</w:t>
      </w:r>
      <w:r w:rsidRPr="00B105EE">
        <w:t>" decorre de orientação do TCU para os contratos por empreitada por preço global ou integral (Acórdão n</w:t>
      </w:r>
      <w:r w:rsidR="27C850B6" w:rsidRPr="00D875A9">
        <w:t>.</w:t>
      </w:r>
      <w:r w:rsidRPr="00B105EE">
        <w:t xml:space="preserve"> 1.977/2013 - Plenário), a fim de garantir segurança jurídica em caso de eventual necessidade de aditivos para correção de projeto.</w:t>
      </w:r>
    </w:p>
    <w:p w14:paraId="583EA534" w14:textId="759A1894" w:rsidR="37B18B14" w:rsidRPr="00B105EE" w:rsidRDefault="17CF5197" w:rsidP="00B105EE">
      <w:pPr>
        <w:pStyle w:val="ApTexto"/>
        <w:spacing w:before="0" w:after="360"/>
      </w:pPr>
      <w:r w:rsidRPr="00B105EE">
        <w:t> Segundo avalia o TCU, ambas as partes - Administração e contratada - são obrigadas a arcar com as imprecisões do projeto na empreitada por preço global - porém, apenas até o limite do enriquecimento sem causa de uma parte em detrimento da outra.</w:t>
      </w:r>
    </w:p>
    <w:p w14:paraId="16582610" w14:textId="407CA293" w:rsidR="37B18B14" w:rsidRPr="00B105EE" w:rsidRDefault="17CF5197" w:rsidP="00B105EE">
      <w:pPr>
        <w:pStyle w:val="ApTexto"/>
        <w:spacing w:before="0" w:after="360"/>
      </w:pPr>
      <w:r w:rsidRPr="00B105EE">
        <w:t>Assim, "pequenos erros quantitativos" devem ser tolerados e não devem acarretar a celebração de termos aditivos em empreitadas globais, "por se tratarem de erros acidentais, incapazes de interferir na formação de vontades e, principalmente, na formação de proposta a ser ofertada, a ser tida como a mais vantajosa"</w:t>
      </w:r>
      <w:r w:rsidR="00F87872">
        <w:t>.</w:t>
      </w:r>
    </w:p>
    <w:p w14:paraId="74E9C991" w14:textId="75DA8D98" w:rsidR="37B18B14" w:rsidRPr="00B105EE" w:rsidRDefault="17CF5197" w:rsidP="00B105EE">
      <w:pPr>
        <w:pStyle w:val="ApTexto"/>
        <w:spacing w:before="0" w:after="360"/>
      </w:pPr>
      <w:r w:rsidRPr="00B105EE">
        <w:t xml:space="preserve">Porém, o cenário se altera caso ocorram "erros substanciais" - daí a necessidade de estabelecer um critério objetivo para diferenciá-los. </w:t>
      </w:r>
    </w:p>
    <w:p w14:paraId="31241880" w14:textId="457A22A0" w:rsidR="37B18B14" w:rsidRPr="00B105EE" w:rsidRDefault="17CF5197" w:rsidP="00B105EE">
      <w:pPr>
        <w:pStyle w:val="ApTexto"/>
        <w:spacing w:before="0" w:after="360"/>
      </w:pPr>
      <w:r w:rsidRPr="00B105EE">
        <w:t xml:space="preserve">O setor técnico deve elaborar uma matriz de riscos para analisar os riscos do projeto e definir a margem de tolerância de erro quantitativo a ser acatada pelas partes, tanto </w:t>
      </w:r>
      <w:r w:rsidRPr="00B105EE">
        <w:lastRenderedPageBreak/>
        <w:t>a menor ("subestimativas" em desfavor da contratada) quanto a maior ("superestimativas" em desfavor da Administração).</w:t>
      </w:r>
    </w:p>
    <w:p w14:paraId="696AD6B7" w14:textId="122139D6" w:rsidR="37B18B14" w:rsidRPr="00B105EE" w:rsidRDefault="17CF5197" w:rsidP="00B105EE">
      <w:pPr>
        <w:pStyle w:val="ApTexto"/>
        <w:spacing w:before="0" w:after="360"/>
      </w:pPr>
      <w:r w:rsidRPr="00B105EE">
        <w:t>Tal margem de tolerância será fixada sob a forma de um percentual incidente sobre as quantidades do serviço.</w:t>
      </w:r>
    </w:p>
    <w:p w14:paraId="10EE215E" w14:textId="59151ED8" w:rsidR="37B18B14" w:rsidRPr="00B105EE" w:rsidRDefault="17CF5197" w:rsidP="00B105EE">
      <w:pPr>
        <w:pStyle w:val="ApTexto"/>
        <w:spacing w:before="0" w:after="360"/>
      </w:pPr>
      <w:r w:rsidRPr="00B105EE">
        <w:t xml:space="preserve">Nesse ponto convém notar que a inclusão dos riscos do empreendimento é parte obrigatória da remuneração da empresa contratada, nos termos do art. </w:t>
      </w:r>
      <w:r w:rsidR="004559FC">
        <w:t xml:space="preserve">13, § 1º, </w:t>
      </w:r>
      <w:r w:rsidRPr="00B105EE">
        <w:t xml:space="preserve">do Decreto </w:t>
      </w:r>
      <w:r w:rsidR="004559FC">
        <w:t xml:space="preserve">Municipal </w:t>
      </w:r>
      <w:r w:rsidRPr="00B105EE">
        <w:t>n.</w:t>
      </w:r>
      <w:r w:rsidR="004559FC">
        <w:t>º</w:t>
      </w:r>
      <w:r w:rsidRPr="00B105EE">
        <w:t xml:space="preserve"> </w:t>
      </w:r>
      <w:r w:rsidR="004559FC">
        <w:t>036</w:t>
      </w:r>
      <w:r w:rsidRPr="00B105EE">
        <w:t>, de 20</w:t>
      </w:r>
      <w:r w:rsidR="004559FC">
        <w:t>2</w:t>
      </w:r>
      <w:r w:rsidRPr="00B105EE">
        <w:t>3, que traz a composição do BDI:</w:t>
      </w:r>
    </w:p>
    <w:p w14:paraId="45B1251F" w14:textId="77777777" w:rsidR="004559FC" w:rsidRPr="004559FC" w:rsidRDefault="004559FC" w:rsidP="004559FC">
      <w:pPr>
        <w:pStyle w:val="ApTexto"/>
        <w:spacing w:before="0" w:after="0"/>
        <w:ind w:left="2268" w:firstLine="0"/>
        <w:rPr>
          <w:sz w:val="22"/>
          <w:szCs w:val="22"/>
          <w:lang w:eastAsia="pt-BR"/>
        </w:rPr>
      </w:pPr>
      <w:r w:rsidRPr="004559FC">
        <w:rPr>
          <w:sz w:val="22"/>
          <w:szCs w:val="22"/>
          <w:lang w:eastAsia="pt-BR"/>
        </w:rPr>
        <w:t>Art. 13. As obras e serviços de engenharia e/ou arquitetura a serem contratados e executados terão seus preços máximos definidos por meio da somatória do custo direto, orçado pelo órgão licitante, com o valor do Benefício e Despesas Indiretas - BDI.</w:t>
      </w:r>
    </w:p>
    <w:p w14:paraId="37E9F486" w14:textId="77777777" w:rsidR="004559FC" w:rsidRPr="004559FC" w:rsidRDefault="004559FC" w:rsidP="004559FC">
      <w:pPr>
        <w:pStyle w:val="ApTexto"/>
        <w:spacing w:before="0" w:after="0"/>
        <w:ind w:left="2268" w:firstLine="0"/>
        <w:rPr>
          <w:sz w:val="22"/>
          <w:szCs w:val="22"/>
          <w:lang w:eastAsia="pt-BR"/>
        </w:rPr>
      </w:pPr>
    </w:p>
    <w:p w14:paraId="25567F7D" w14:textId="77777777" w:rsidR="004559FC" w:rsidRPr="004559FC" w:rsidRDefault="004559FC" w:rsidP="004559FC">
      <w:pPr>
        <w:pStyle w:val="ApTexto"/>
        <w:spacing w:before="0" w:after="0"/>
        <w:ind w:left="2268" w:firstLine="0"/>
        <w:rPr>
          <w:sz w:val="22"/>
          <w:szCs w:val="22"/>
          <w:lang w:eastAsia="pt-BR"/>
        </w:rPr>
      </w:pPr>
      <w:r w:rsidRPr="004559FC">
        <w:rPr>
          <w:sz w:val="22"/>
          <w:szCs w:val="22"/>
          <w:lang w:eastAsia="pt-BR"/>
        </w:rPr>
        <w:t>§ 1º O preço máximo será o resultante do custo global de referência acrescido do valor correspondente ao BDI, que deverá evidenciar em sua composição, no mínimo:</w:t>
      </w:r>
    </w:p>
    <w:p w14:paraId="0265AAD7" w14:textId="77777777" w:rsidR="004559FC" w:rsidRPr="004559FC" w:rsidRDefault="004559FC" w:rsidP="004559FC">
      <w:pPr>
        <w:pStyle w:val="ApTexto"/>
        <w:spacing w:before="0" w:after="0"/>
        <w:ind w:left="2268" w:firstLine="0"/>
        <w:rPr>
          <w:sz w:val="22"/>
          <w:szCs w:val="22"/>
          <w:lang w:eastAsia="pt-BR"/>
        </w:rPr>
      </w:pPr>
    </w:p>
    <w:p w14:paraId="1157B813" w14:textId="77777777" w:rsidR="004559FC" w:rsidRPr="004559FC" w:rsidRDefault="004559FC" w:rsidP="004559FC">
      <w:pPr>
        <w:pStyle w:val="ApTexto"/>
        <w:spacing w:before="0" w:after="0"/>
        <w:ind w:left="2268" w:firstLine="0"/>
        <w:rPr>
          <w:sz w:val="22"/>
          <w:szCs w:val="22"/>
          <w:lang w:eastAsia="pt-BR"/>
        </w:rPr>
      </w:pPr>
      <w:r w:rsidRPr="004559FC">
        <w:rPr>
          <w:sz w:val="22"/>
          <w:szCs w:val="22"/>
          <w:lang w:eastAsia="pt-BR"/>
        </w:rPr>
        <w:t xml:space="preserve">I - </w:t>
      </w:r>
      <w:proofErr w:type="gramStart"/>
      <w:r w:rsidRPr="004559FC">
        <w:rPr>
          <w:sz w:val="22"/>
          <w:szCs w:val="22"/>
          <w:lang w:eastAsia="pt-BR"/>
        </w:rPr>
        <w:t>taxa</w:t>
      </w:r>
      <w:proofErr w:type="gramEnd"/>
      <w:r w:rsidRPr="004559FC">
        <w:rPr>
          <w:sz w:val="22"/>
          <w:szCs w:val="22"/>
          <w:lang w:eastAsia="pt-BR"/>
        </w:rPr>
        <w:t xml:space="preserve"> de rateio da administração central;</w:t>
      </w:r>
    </w:p>
    <w:p w14:paraId="6D3D6CB2" w14:textId="77777777" w:rsidR="004559FC" w:rsidRPr="004559FC" w:rsidRDefault="004559FC" w:rsidP="004559FC">
      <w:pPr>
        <w:pStyle w:val="ApTexto"/>
        <w:spacing w:before="0" w:after="0"/>
        <w:ind w:left="2268" w:firstLine="0"/>
        <w:rPr>
          <w:sz w:val="22"/>
          <w:szCs w:val="22"/>
          <w:lang w:eastAsia="pt-BR"/>
        </w:rPr>
      </w:pPr>
    </w:p>
    <w:p w14:paraId="687FD78E" w14:textId="77777777" w:rsidR="004559FC" w:rsidRPr="004559FC" w:rsidRDefault="004559FC" w:rsidP="004559FC">
      <w:pPr>
        <w:pStyle w:val="ApTexto"/>
        <w:spacing w:before="0" w:after="0"/>
        <w:ind w:left="2268" w:firstLine="0"/>
        <w:rPr>
          <w:sz w:val="22"/>
          <w:szCs w:val="22"/>
          <w:lang w:eastAsia="pt-BR"/>
        </w:rPr>
      </w:pPr>
      <w:r w:rsidRPr="004559FC">
        <w:rPr>
          <w:sz w:val="22"/>
          <w:szCs w:val="22"/>
          <w:lang w:eastAsia="pt-BR"/>
        </w:rPr>
        <w:t xml:space="preserve">II - </w:t>
      </w:r>
      <w:proofErr w:type="gramStart"/>
      <w:r w:rsidRPr="004559FC">
        <w:rPr>
          <w:sz w:val="22"/>
          <w:szCs w:val="22"/>
          <w:lang w:eastAsia="pt-BR"/>
        </w:rPr>
        <w:t>percentuais</w:t>
      </w:r>
      <w:proofErr w:type="gramEnd"/>
      <w:r w:rsidRPr="004559FC">
        <w:rPr>
          <w:sz w:val="22"/>
          <w:szCs w:val="22"/>
          <w:lang w:eastAsia="pt-BR"/>
        </w:rPr>
        <w:t xml:space="preserve"> de tributos incidentes sobre o preço do serviço, excluídos aqueles de natureza direta e </w:t>
      </w:r>
      <w:proofErr w:type="spellStart"/>
      <w:r w:rsidRPr="004559FC">
        <w:rPr>
          <w:sz w:val="22"/>
          <w:szCs w:val="22"/>
          <w:lang w:eastAsia="pt-BR"/>
        </w:rPr>
        <w:t>personalística</w:t>
      </w:r>
      <w:proofErr w:type="spellEnd"/>
      <w:r w:rsidRPr="004559FC">
        <w:rPr>
          <w:sz w:val="22"/>
          <w:szCs w:val="22"/>
          <w:lang w:eastAsia="pt-BR"/>
        </w:rPr>
        <w:t>, em especial aqueles mencionados no § 2º deste artigo, que oneram a contratada;</w:t>
      </w:r>
    </w:p>
    <w:p w14:paraId="0B7D5C33" w14:textId="77777777" w:rsidR="004559FC" w:rsidRPr="004559FC" w:rsidRDefault="004559FC" w:rsidP="004559FC">
      <w:pPr>
        <w:pStyle w:val="ApTexto"/>
        <w:spacing w:before="0" w:after="0"/>
        <w:ind w:left="2268" w:firstLine="0"/>
        <w:rPr>
          <w:sz w:val="22"/>
          <w:szCs w:val="22"/>
          <w:lang w:eastAsia="pt-BR"/>
        </w:rPr>
      </w:pPr>
    </w:p>
    <w:p w14:paraId="6346BC6F" w14:textId="77777777" w:rsidR="004559FC" w:rsidRPr="004559FC" w:rsidRDefault="004559FC" w:rsidP="004559FC">
      <w:pPr>
        <w:pStyle w:val="ApTexto"/>
        <w:spacing w:before="0" w:after="0"/>
        <w:ind w:left="2268" w:firstLine="0"/>
        <w:rPr>
          <w:sz w:val="22"/>
          <w:szCs w:val="22"/>
          <w:lang w:eastAsia="pt-BR"/>
        </w:rPr>
      </w:pPr>
      <w:r w:rsidRPr="004559FC">
        <w:rPr>
          <w:sz w:val="22"/>
          <w:szCs w:val="22"/>
          <w:lang w:eastAsia="pt-BR"/>
        </w:rPr>
        <w:t>III - taxa de risco, seguro e garantia do empreendimento;</w:t>
      </w:r>
    </w:p>
    <w:p w14:paraId="2BB7D919" w14:textId="77777777" w:rsidR="004559FC" w:rsidRPr="004559FC" w:rsidRDefault="004559FC" w:rsidP="004559FC">
      <w:pPr>
        <w:pStyle w:val="ApTexto"/>
        <w:spacing w:before="0" w:after="0"/>
        <w:ind w:left="2268" w:firstLine="0"/>
        <w:rPr>
          <w:sz w:val="22"/>
          <w:szCs w:val="22"/>
          <w:lang w:eastAsia="pt-BR"/>
        </w:rPr>
      </w:pPr>
    </w:p>
    <w:p w14:paraId="29B55D73" w14:textId="77777777" w:rsidR="004559FC" w:rsidRDefault="004559FC" w:rsidP="004559FC">
      <w:pPr>
        <w:pStyle w:val="ApTexto"/>
        <w:spacing w:before="0" w:after="0"/>
        <w:ind w:left="2268" w:firstLine="0"/>
        <w:rPr>
          <w:sz w:val="22"/>
          <w:szCs w:val="22"/>
          <w:lang w:eastAsia="pt-BR"/>
        </w:rPr>
      </w:pPr>
      <w:r w:rsidRPr="004559FC">
        <w:rPr>
          <w:sz w:val="22"/>
          <w:szCs w:val="22"/>
          <w:lang w:eastAsia="pt-BR"/>
        </w:rPr>
        <w:t xml:space="preserve">IV - </w:t>
      </w:r>
      <w:proofErr w:type="gramStart"/>
      <w:r>
        <w:rPr>
          <w:sz w:val="22"/>
          <w:szCs w:val="22"/>
          <w:lang w:eastAsia="pt-BR"/>
        </w:rPr>
        <w:t>taxa</w:t>
      </w:r>
      <w:proofErr w:type="gramEnd"/>
      <w:r>
        <w:rPr>
          <w:sz w:val="22"/>
          <w:szCs w:val="22"/>
          <w:lang w:eastAsia="pt-BR"/>
        </w:rPr>
        <w:t xml:space="preserve"> de despesas financeiras; e</w:t>
      </w:r>
    </w:p>
    <w:p w14:paraId="7D1F0401" w14:textId="77777777" w:rsidR="004559FC" w:rsidRDefault="004559FC" w:rsidP="004559FC">
      <w:pPr>
        <w:pStyle w:val="ApTexto"/>
        <w:spacing w:before="0" w:after="0"/>
        <w:ind w:left="2268" w:firstLine="0"/>
        <w:rPr>
          <w:sz w:val="22"/>
          <w:szCs w:val="22"/>
          <w:lang w:eastAsia="pt-BR"/>
        </w:rPr>
      </w:pPr>
    </w:p>
    <w:p w14:paraId="2C22D505" w14:textId="2DCEC119" w:rsidR="004559FC" w:rsidRDefault="004559FC" w:rsidP="004559FC">
      <w:pPr>
        <w:pStyle w:val="ApTexto"/>
        <w:spacing w:before="0" w:after="0"/>
        <w:ind w:left="2268" w:firstLine="0"/>
        <w:rPr>
          <w:sz w:val="22"/>
          <w:szCs w:val="22"/>
          <w:lang w:eastAsia="pt-BR"/>
        </w:rPr>
      </w:pPr>
      <w:r w:rsidRPr="004559FC">
        <w:rPr>
          <w:sz w:val="22"/>
          <w:szCs w:val="22"/>
          <w:lang w:eastAsia="pt-BR"/>
        </w:rPr>
        <w:t xml:space="preserve">V - </w:t>
      </w:r>
      <w:proofErr w:type="gramStart"/>
      <w:r w:rsidRPr="004559FC">
        <w:rPr>
          <w:sz w:val="22"/>
          <w:szCs w:val="22"/>
          <w:lang w:eastAsia="pt-BR"/>
        </w:rPr>
        <w:t>taxa</w:t>
      </w:r>
      <w:proofErr w:type="gramEnd"/>
      <w:r w:rsidRPr="004559FC">
        <w:rPr>
          <w:sz w:val="22"/>
          <w:szCs w:val="22"/>
          <w:lang w:eastAsia="pt-BR"/>
        </w:rPr>
        <w:t xml:space="preserve"> de lucro.</w:t>
      </w:r>
    </w:p>
    <w:p w14:paraId="6FD29806" w14:textId="77777777" w:rsidR="004559FC" w:rsidRDefault="004559FC" w:rsidP="004559FC">
      <w:pPr>
        <w:pStyle w:val="ApTexto"/>
        <w:spacing w:before="0" w:after="0"/>
        <w:ind w:left="2268" w:firstLine="0"/>
        <w:rPr>
          <w:sz w:val="22"/>
          <w:szCs w:val="22"/>
          <w:lang w:eastAsia="pt-BR"/>
        </w:rPr>
      </w:pPr>
    </w:p>
    <w:p w14:paraId="0B893B6B" w14:textId="4F52EE84" w:rsidR="37B18B14" w:rsidRPr="00B105EE" w:rsidRDefault="17CF5197" w:rsidP="004559FC">
      <w:pPr>
        <w:pStyle w:val="ApTexto"/>
        <w:spacing w:before="0" w:after="360"/>
      </w:pPr>
      <w:r w:rsidRPr="00B105EE">
        <w:t>Ora, a Taxa de Risco compreende os “riscos de construção”, os “riscos normais de projetos de engenharia”, bem como os “riscos de erros de projetos e engenharia”, conforme se extrai do Acórdão TCU n. 2622/2013-Plenário. Portanto, não é compreensível que a Administração venha a remunerar esses riscos e ao mesmo tempo assuma o ônus de quaisquer quantitativos subestimados por meio da celebração de aditivos, tal como seria no regime de empreitada por preço unitário. Daí a taxa de risco fixada pela Administração por ocasião da elaboração do BDI é um importante fator a ser levado em consideração no cálculo das superestimavas e subestimavas relevantes.</w:t>
      </w:r>
    </w:p>
    <w:p w14:paraId="4AFD695C" w14:textId="08172995" w:rsidR="37B18B14" w:rsidRPr="00B105EE" w:rsidRDefault="17CF5197" w:rsidP="00B105EE">
      <w:pPr>
        <w:pStyle w:val="ApTexto"/>
        <w:spacing w:before="0" w:after="360"/>
      </w:pPr>
      <w:r w:rsidRPr="00B105EE">
        <w:t xml:space="preserve">Além disso, A Orientação Técnica n. 04/2011 do Instituto Brasileiro de Engenharia de Custos, seguindo padrões internacionais (ICEC - </w:t>
      </w:r>
      <w:proofErr w:type="spellStart"/>
      <w:r w:rsidRPr="00B105EE">
        <w:rPr>
          <w:i/>
          <w:iCs/>
        </w:rPr>
        <w:t>International</w:t>
      </w:r>
      <w:proofErr w:type="spellEnd"/>
      <w:r w:rsidRPr="00B105EE">
        <w:rPr>
          <w:i/>
          <w:iCs/>
        </w:rPr>
        <w:t xml:space="preserve"> </w:t>
      </w:r>
      <w:proofErr w:type="spellStart"/>
      <w:r w:rsidRPr="00B105EE">
        <w:rPr>
          <w:i/>
          <w:iCs/>
        </w:rPr>
        <w:t>Cost</w:t>
      </w:r>
      <w:proofErr w:type="spellEnd"/>
      <w:r w:rsidRPr="00B105EE">
        <w:rPr>
          <w:i/>
          <w:iCs/>
        </w:rPr>
        <w:t xml:space="preserve"> </w:t>
      </w:r>
      <w:proofErr w:type="spellStart"/>
      <w:r w:rsidRPr="00B105EE">
        <w:rPr>
          <w:i/>
          <w:iCs/>
        </w:rPr>
        <w:t>Engineering</w:t>
      </w:r>
      <w:proofErr w:type="spellEnd"/>
      <w:r w:rsidRPr="00B105EE">
        <w:rPr>
          <w:i/>
          <w:iCs/>
        </w:rPr>
        <w:t xml:space="preserve"> </w:t>
      </w:r>
      <w:proofErr w:type="spellStart"/>
      <w:r w:rsidRPr="00B105EE">
        <w:rPr>
          <w:i/>
          <w:iCs/>
        </w:rPr>
        <w:t>Council</w:t>
      </w:r>
      <w:proofErr w:type="spellEnd"/>
      <w:r w:rsidRPr="00B105EE">
        <w:t xml:space="preserve">), indica uma margem de erro de um orçamento de referência de aproximadamente 5% (cinco por cento) para um Projeto Básico quando caracterizada uma situação de utilização de empreitada por preço global, ou seja: quando todas as informações necessárias para a confecção de uma planilha orçamentária detalhada estão disponíveis. Assim, esse parâmetro pode ser utilizado pela Administração como critério médio que pode variar conforme o risco </w:t>
      </w:r>
      <w:r w:rsidRPr="00B105EE">
        <w:lastRenderedPageBreak/>
        <w:t>de cada etapa do projeto. Em todo caso, porém, compete exclusivamente à área técnica a definição dos respectivos percentuais de subestimavas e superestimavas relevantes.</w:t>
      </w:r>
    </w:p>
    <w:p w14:paraId="7354DCDA" w14:textId="3FD91563" w:rsidR="37B18B14" w:rsidRPr="00B105EE" w:rsidRDefault="17CF5197" w:rsidP="00B105EE">
      <w:pPr>
        <w:pStyle w:val="ApTexto"/>
        <w:spacing w:before="0" w:after="360"/>
      </w:pPr>
      <w:r w:rsidRPr="00B105EE">
        <w:t xml:space="preserve">Uma vez fixados os percentuais, durante a execução contratual, se for constatado um erro de quantitativo ("subestimativa" ou "superestimativa") em determinado serviço, o setor técnico comparará com o percentual fixado na matriz de riscos. </w:t>
      </w:r>
    </w:p>
    <w:p w14:paraId="04583EB9" w14:textId="5EBBD5D7" w:rsidR="37B18B14" w:rsidRPr="00B105EE" w:rsidRDefault="17CF5197" w:rsidP="00B105EE">
      <w:pPr>
        <w:pStyle w:val="ApTexto"/>
        <w:spacing w:before="0" w:after="360"/>
      </w:pPr>
      <w:r w:rsidRPr="00B105EE">
        <w:t>Se o percentual do erro ficar abaixo do percentual limite, significa que o erro não é relevante: trata-se de risco ordinário do empreendimento, já remunerado pela taxa de “risco” que consta do BDI da obra ou serviço, e não deve fundamentar a prolação de termo aditivo.</w:t>
      </w:r>
    </w:p>
    <w:p w14:paraId="36A2A756" w14:textId="61151BDD" w:rsidR="37B18B14" w:rsidRPr="00B105EE" w:rsidRDefault="17CF5197" w:rsidP="00B105EE">
      <w:pPr>
        <w:pStyle w:val="ApTexto"/>
        <w:spacing w:before="0" w:after="360"/>
      </w:pPr>
      <w:r w:rsidRPr="00B105EE">
        <w:t xml:space="preserve">Porém, se o percentual do erro ficar acima do percentual limite, será considerado relevante e permitirá a prolação do termo aditivo – sem prejuízo da análise técnica acerca dos demais requisitos necessários para as modificações contratuais, nos termos do art. </w:t>
      </w:r>
      <w:r w:rsidR="000908F8">
        <w:t>124</w:t>
      </w:r>
      <w:r w:rsidRPr="00B105EE">
        <w:t>, I e II, da Lei n</w:t>
      </w:r>
      <w:r w:rsidR="00A33F2B">
        <w:t>.</w:t>
      </w:r>
      <w:r w:rsidRPr="00B105EE">
        <w:t xml:space="preserve"> </w:t>
      </w:r>
      <w:r w:rsidR="002451BE">
        <w:t>14.133, de 2021.</w:t>
      </w:r>
    </w:p>
    <w:p w14:paraId="5E0A4263" w14:textId="2995AEA6" w:rsidR="37B18B14" w:rsidRPr="00B105EE" w:rsidRDefault="17CF5197" w:rsidP="00B105EE">
      <w:pPr>
        <w:pStyle w:val="ApTexto"/>
        <w:spacing w:before="0" w:after="360"/>
      </w:pPr>
      <w:r w:rsidRPr="00B105EE">
        <w:t xml:space="preserve">Segue o exemplo do TCU: “os contratos podem, com simplicidade, objetivar que erros unitários de quantidade de até 10% não sejam objeto de qualquer revisão. Menos que isso, esses erros acidentais serão álea ordinária da contratada. Para que não haja incontáveis pedidos de reequilíbrio decorrentes de serviços de pequena monta, pode-se, ainda, definir que somente serviços de materialidade relevante na curva ABC do empreendimento incorrerão como tarja de “erro relevante”. Mantém, assim, a lógica da medição por preço global, ao mesmo tempo em que se veda o enriquecimento sem causa de qualquer das partes, sem ferir o princípio fundamental da obtenção da melhor proposta”. </w:t>
      </w:r>
    </w:p>
    <w:p w14:paraId="1C35CECD" w14:textId="42C7D5D7" w:rsidR="37B18B14" w:rsidRPr="00B105EE" w:rsidRDefault="17CF5197" w:rsidP="00B105EE">
      <w:pPr>
        <w:pStyle w:val="ApTexto"/>
        <w:spacing w:before="0" w:after="360"/>
      </w:pPr>
      <w:r w:rsidRPr="00B105EE">
        <w:t xml:space="preserve">Assim, a definição do percentual de tolerância pode abranger cada item de serviço, grupos de serviços ou apenas os serviços de maior relevância da contratação (avaliados de acordo com a metodologia ABC) – nesse último caso, o erro de quantitativo só ensejará a prolação do termo aditivo se atingir justamente um dos serviços agrupados na curva “A” da contratação, ou nas curvas “A” e “B” (podendo prever um percentual limite maior para os serviços da curva “B” em relação à curva “A”, por exemplo). </w:t>
      </w:r>
    </w:p>
    <w:p w14:paraId="2E3C77CE" w14:textId="3ECADFCE" w:rsidR="37B18B14" w:rsidRPr="00B105EE" w:rsidRDefault="17CF5197" w:rsidP="00B105EE">
      <w:pPr>
        <w:pStyle w:val="ApTexto"/>
        <w:spacing w:before="0" w:after="360"/>
      </w:pPr>
      <w:r w:rsidRPr="00B105EE">
        <w:t>Trata-se de questão técnica, a ser avaliada pelo setor em cada licitação, de acordo com as peculiaridades do objeto.</w:t>
      </w:r>
    </w:p>
    <w:p w14:paraId="50437371" w14:textId="5FAA4757" w:rsidR="0554D60B" w:rsidRDefault="2D5597E0" w:rsidP="008216F7">
      <w:pPr>
        <w:pStyle w:val="ApTexto"/>
        <w:spacing w:before="0" w:after="360"/>
      </w:pPr>
      <w:r w:rsidRPr="00B105EE">
        <w:t>Por fim, nos termos do art. 1</w:t>
      </w:r>
      <w:r w:rsidR="00C537F0">
        <w:t>9</w:t>
      </w:r>
      <w:r w:rsidRPr="00B105EE">
        <w:t xml:space="preserve">, inciso II, do Decreto </w:t>
      </w:r>
      <w:r w:rsidR="00C537F0">
        <w:t xml:space="preserve">Municipal </w:t>
      </w:r>
      <w:r w:rsidRPr="00B105EE">
        <w:t>n</w:t>
      </w:r>
      <w:r w:rsidR="214DF01B" w:rsidRPr="00D875A9">
        <w:t>.</w:t>
      </w:r>
      <w:r w:rsidR="00C537F0">
        <w:t>º</w:t>
      </w:r>
      <w:r w:rsidRPr="00B105EE">
        <w:t xml:space="preserve"> </w:t>
      </w:r>
      <w:r w:rsidR="00C537F0">
        <w:t>036</w:t>
      </w:r>
      <w:r w:rsidRPr="00B105EE">
        <w:t>, de 20</w:t>
      </w:r>
      <w:r w:rsidR="00C537F0">
        <w:t>2</w:t>
      </w:r>
      <w:r w:rsidRPr="00B105EE">
        <w:t xml:space="preserve">3, as alterações contratuais sob alegação de falhas ou omissões não poderão ultrapassar, no seu conjunto, 10% (dez por cento) do valor total do contrato, computando-se esse percentual para verificação do limite previsto no </w:t>
      </w:r>
      <w:r w:rsidR="00C2352A">
        <w:t>art. 12</w:t>
      </w:r>
      <w:r w:rsidR="006319CE">
        <w:t>5</w:t>
      </w:r>
      <w:r w:rsidR="00C2352A">
        <w:t xml:space="preserve"> da Lei n. 14.133, de 2021.</w:t>
      </w:r>
    </w:p>
    <w:p w14:paraId="64546D4B" w14:textId="66F7858B" w:rsidR="008216F7" w:rsidRPr="00B105EE" w:rsidRDefault="001E704A" w:rsidP="00A93963">
      <w:pPr>
        <w:pStyle w:val="ApTexto"/>
        <w:spacing w:before="0" w:after="360"/>
      </w:pPr>
      <w:hyperlink w:anchor="nt_2_retorno" w:history="1">
        <w:r w:rsidR="00A93963" w:rsidRPr="00A93963">
          <w:rPr>
            <w:rStyle w:val="Hyperlink"/>
          </w:rPr>
          <w:t>Voltar ao preenchimento</w:t>
        </w:r>
      </w:hyperlink>
    </w:p>
    <w:p w14:paraId="02CF8FFB" w14:textId="03922380" w:rsidR="008216F7" w:rsidRPr="002240A4" w:rsidRDefault="008216F7" w:rsidP="002240A4">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83" w:name="nt_3"/>
      <w:bookmarkStart w:id="84" w:name="_Ref136507312"/>
      <w:bookmarkStart w:id="85" w:name="_Toc142556218"/>
      <w:bookmarkEnd w:id="83"/>
      <w:r w:rsidRPr="002240A4">
        <w:rPr>
          <w:rFonts w:asciiTheme="majorHAnsi" w:hAnsiTheme="majorHAnsi" w:cstheme="majorHAnsi"/>
          <w:color w:val="auto"/>
          <w:szCs w:val="24"/>
        </w:rPr>
        <w:lastRenderedPageBreak/>
        <w:t xml:space="preserve">ELABORAÇÃO DE PROJETO </w:t>
      </w:r>
      <w:r w:rsidR="00EE5D58">
        <w:rPr>
          <w:rFonts w:asciiTheme="majorHAnsi" w:hAnsiTheme="majorHAnsi" w:cstheme="majorHAnsi"/>
          <w:color w:val="auto"/>
          <w:szCs w:val="24"/>
        </w:rPr>
        <w:t>/</w:t>
      </w:r>
      <w:r w:rsidRPr="002240A4">
        <w:rPr>
          <w:rFonts w:asciiTheme="majorHAnsi" w:hAnsiTheme="majorHAnsi" w:cstheme="majorHAnsi"/>
          <w:color w:val="auto"/>
          <w:szCs w:val="24"/>
        </w:rPr>
        <w:t xml:space="preserve"> DOCUMENTOS TÉCNICOS POR PROFISSIONAL HABILITADO E COMPROVAÇÃO DE RESPONSABILIDADE TÉCNICA.</w:t>
      </w:r>
      <w:bookmarkEnd w:id="84"/>
      <w:bookmarkEnd w:id="85"/>
    </w:p>
    <w:p w14:paraId="4968E6CA" w14:textId="04F69570" w:rsidR="00E37DAE" w:rsidRPr="0039509F" w:rsidRDefault="00DD1EB9" w:rsidP="0039509F">
      <w:pPr>
        <w:pStyle w:val="ApTexto"/>
        <w:spacing w:before="0" w:after="360"/>
      </w:pPr>
      <w:r w:rsidRPr="0039509F">
        <w:t>Para a licitação relacionada a obras e serviços de engenharia, em conformidade com a</w:t>
      </w:r>
      <w:r w:rsidR="00B06809" w:rsidRPr="0039509F">
        <w:t>s definições constantes no a</w:t>
      </w:r>
      <w:r w:rsidRPr="0039509F">
        <w:t xml:space="preserve">rt. </w:t>
      </w:r>
      <w:r w:rsidR="00B06809" w:rsidRPr="0039509F">
        <w:t>6</w:t>
      </w:r>
      <w:r w:rsidRPr="0039509F">
        <w:t xml:space="preserve">°, </w:t>
      </w:r>
      <w:r w:rsidR="00B06809" w:rsidRPr="0039509F">
        <w:t>XI</w:t>
      </w:r>
      <w:r w:rsidRPr="0039509F">
        <w:t>I</w:t>
      </w:r>
      <w:r w:rsidR="00B06809" w:rsidRPr="0039509F">
        <w:t xml:space="preserve"> </w:t>
      </w:r>
      <w:r w:rsidR="000A448D" w:rsidRPr="0039509F">
        <w:t>e XXI</w:t>
      </w:r>
      <w:r w:rsidRPr="0039509F">
        <w:t>, da Lei n</w:t>
      </w:r>
      <w:r w:rsidR="00C66FEF" w:rsidRPr="0039509F">
        <w:t>.</w:t>
      </w:r>
      <w:r w:rsidRPr="0039509F">
        <w:t xml:space="preserve"> </w:t>
      </w:r>
      <w:r w:rsidR="000A448D" w:rsidRPr="0039509F">
        <w:t>14</w:t>
      </w:r>
      <w:r w:rsidRPr="0039509F">
        <w:t>.</w:t>
      </w:r>
      <w:r w:rsidR="000A448D" w:rsidRPr="0039509F">
        <w:t>1</w:t>
      </w:r>
      <w:r w:rsidR="00970432" w:rsidRPr="0039509F">
        <w:t>3</w:t>
      </w:r>
      <w:r w:rsidR="000A448D" w:rsidRPr="0039509F">
        <w:t>3, de 2021</w:t>
      </w:r>
      <w:r w:rsidRPr="0039509F">
        <w:t xml:space="preserve">, </w:t>
      </w:r>
      <w:r w:rsidR="00216E8B" w:rsidRPr="0039509F">
        <w:t xml:space="preserve">é indispensável a participação do profissional </w:t>
      </w:r>
      <w:r w:rsidR="0040712B" w:rsidRPr="0039509F">
        <w:t>habilitado da área.</w:t>
      </w:r>
      <w:r w:rsidR="00EF57F6" w:rsidRPr="0039509F">
        <w:t xml:space="preserve"> </w:t>
      </w:r>
      <w:r w:rsidR="00E37DAE" w:rsidRPr="0039509F">
        <w:t xml:space="preserve">A elaboração do Projeto Básico caberá: </w:t>
      </w:r>
    </w:p>
    <w:p w14:paraId="586AB1A4" w14:textId="0C4A7B2E" w:rsidR="00E37DAE" w:rsidRPr="0039509F" w:rsidRDefault="00E37DAE" w:rsidP="0039509F">
      <w:pPr>
        <w:pStyle w:val="ApTexto"/>
        <w:spacing w:before="0" w:after="360"/>
      </w:pPr>
      <w:r w:rsidRPr="0039509F">
        <w:t>(a) à própria Administração, por meio de responsável técnico pertencente a seus quadros, inscrito no órgão de fiscalização da atividade (CREA/CAU-BR/CFT), que dever</w:t>
      </w:r>
      <w:r w:rsidR="00EE5D58">
        <w:t>á</w:t>
      </w:r>
      <w:r w:rsidRPr="0039509F">
        <w:t xml:space="preserve"> providenciar a Anotação, Registro ou Termo de Responsabilidade Técnica – ART/RRT/TRT referente aos projetos; </w:t>
      </w:r>
    </w:p>
    <w:p w14:paraId="1DF3C787" w14:textId="38EF6236" w:rsidR="00E37DAE" w:rsidRPr="0039509F" w:rsidRDefault="00E37DAE" w:rsidP="0039509F">
      <w:pPr>
        <w:pStyle w:val="ApTexto"/>
        <w:spacing w:before="0" w:after="360"/>
      </w:pPr>
      <w:r w:rsidRPr="0039509F">
        <w:t xml:space="preserve">(b) a profissional (pessoa física ou jurídica) especializado, habilitado pelo CREA/CAU-BR/CFT, contratado pela Administração mediante licitação ou diretamente, cujos trabalhos serão baseados em anteprojeto desenvolvido pela Administração. </w:t>
      </w:r>
    </w:p>
    <w:p w14:paraId="7AF4E3C2" w14:textId="197D884F" w:rsidR="00861CD4" w:rsidRPr="0039509F" w:rsidRDefault="00E37DAE" w:rsidP="0039509F">
      <w:pPr>
        <w:pStyle w:val="ApTexto"/>
        <w:spacing w:before="0" w:after="360"/>
      </w:pPr>
      <w:r w:rsidRPr="0039509F">
        <w:t>Assim, o</w:t>
      </w:r>
      <w:r w:rsidR="00DD1EB9" w:rsidRPr="0039509F">
        <w:t xml:space="preserve"> projeto e demais documentos técnicos (tais como plantas, caderno de especificações, memoriais descritivos etc.) devem ser elaborados por profissional competente de engenharia, conforme as modalidades pertinentes ao objeto (civil, mecânico, agrônomo, naval, minas, químico, eletricista, eletrônico ou de comunicação, florestal, geólogo etc.), </w:t>
      </w:r>
      <w:r w:rsidR="00C820F2" w:rsidRPr="0039509F">
        <w:t>de arq</w:t>
      </w:r>
      <w:r w:rsidR="00A13074" w:rsidRPr="0039509F">
        <w:t xml:space="preserve">uitetura ou de técnico industrial, </w:t>
      </w:r>
      <w:r w:rsidR="00DD1EB9" w:rsidRPr="0039509F">
        <w:t>com a correspondente Anotação</w:t>
      </w:r>
      <w:r w:rsidR="00A13074" w:rsidRPr="0039509F">
        <w:t xml:space="preserve">, Registro ou Termo </w:t>
      </w:r>
      <w:r w:rsidR="00DD1EB9" w:rsidRPr="0039509F">
        <w:t>de Responsabilidade Técnica – ART</w:t>
      </w:r>
      <w:r w:rsidR="00CB6889" w:rsidRPr="0039509F">
        <w:t>/RRT/TRT</w:t>
      </w:r>
      <w:r w:rsidR="00DD1EB9" w:rsidRPr="0039509F">
        <w:t>, como deixa claro a Súmula TCU n</w:t>
      </w:r>
      <w:r w:rsidR="00C66FEF" w:rsidRPr="0039509F">
        <w:t>.</w:t>
      </w:r>
      <w:r w:rsidR="00DD1EB9" w:rsidRPr="0039509F">
        <w:t xml:space="preserve"> 260/2010</w:t>
      </w:r>
      <w:r w:rsidR="00B21671" w:rsidRPr="0039509F">
        <w:t>:</w:t>
      </w:r>
    </w:p>
    <w:p w14:paraId="599B1DD1" w14:textId="5A54CC8B" w:rsidR="00B21671" w:rsidRPr="0039509F" w:rsidRDefault="003676B8" w:rsidP="0039509F">
      <w:pPr>
        <w:pStyle w:val="ApCitao"/>
        <w:spacing w:before="0" w:after="360"/>
        <w:ind w:left="2552" w:firstLine="0"/>
        <w:rPr>
          <w:sz w:val="22"/>
          <w:szCs w:val="22"/>
        </w:rPr>
      </w:pPr>
      <w:r w:rsidRPr="0039509F">
        <w:rPr>
          <w:sz w:val="22"/>
          <w:szCs w:val="22"/>
        </w:rPr>
        <w:t>É</w:t>
      </w:r>
      <w:r w:rsidR="00B21671" w:rsidRPr="0039509F">
        <w:rPr>
          <w:sz w:val="22"/>
          <w:szCs w:val="22"/>
        </w:rPr>
        <w:t xml:space="preserve"> dever do gestor exigir apresentação de Anotação de Responsabilidade Técnica - ART referente a projeto, execução, supervisão e fiscalização de obras e serviços de engenharia, com indicação do responsável pela elaboração de plantas, orçamento-base, especificações técnicas, composições de custos unitários, cronograma físico-financeiro e outras peças técnicas.</w:t>
      </w:r>
    </w:p>
    <w:p w14:paraId="42FD433F" w14:textId="77777777" w:rsidR="00EE5D58" w:rsidRDefault="037D6563" w:rsidP="0039509F">
      <w:pPr>
        <w:pStyle w:val="ApTexto"/>
        <w:spacing w:before="0" w:after="360"/>
      </w:pPr>
      <w:r w:rsidRPr="0039509F">
        <w:t xml:space="preserve">No que se refere à ART, compete observar </w:t>
      </w:r>
      <w:r w:rsidR="58B02978" w:rsidRPr="0039509F">
        <w:t>a Resolução</w:t>
      </w:r>
      <w:r w:rsidR="2FBF99CE" w:rsidRPr="0039509F">
        <w:t xml:space="preserve"> </w:t>
      </w:r>
      <w:r w:rsidR="58B02978" w:rsidRPr="0039509F">
        <w:t>CONFEA n.</w:t>
      </w:r>
      <w:r w:rsidR="0E3D652C" w:rsidRPr="0039509F">
        <w:t xml:space="preserve"> 1.</w:t>
      </w:r>
      <w:r w:rsidR="004557A9" w:rsidRPr="0039509F">
        <w:t>137</w:t>
      </w:r>
      <w:r w:rsidR="58B02978" w:rsidRPr="0039509F">
        <w:t>,</w:t>
      </w:r>
      <w:r w:rsidR="0E3D652C" w:rsidRPr="0039509F">
        <w:t xml:space="preserve"> de 20</w:t>
      </w:r>
      <w:r w:rsidR="004557A9" w:rsidRPr="0039509F">
        <w:t>23</w:t>
      </w:r>
      <w:r w:rsidRPr="0039509F">
        <w:t>.</w:t>
      </w:r>
      <w:r w:rsidR="0E3D652C" w:rsidRPr="0039509F">
        <w:t xml:space="preserve"> </w:t>
      </w:r>
    </w:p>
    <w:p w14:paraId="515A7092" w14:textId="105092F2" w:rsidR="00EE5D58" w:rsidRPr="00EE5D58" w:rsidRDefault="00EE5D58" w:rsidP="00EE5D58">
      <w:pPr>
        <w:pStyle w:val="ApTexto"/>
        <w:spacing w:before="0" w:after="360"/>
      </w:pPr>
      <w:r w:rsidRPr="00EE5D58">
        <w:t xml:space="preserve">Cumpre lembrar que, ainda que as modificações nas planilhas orçamentárias sejam elaboradas pela empresa contratada para a execução do projeto, deverá haver profissional habilitado pertencente aos quadros da Administração, ou por ela contratado, para a verificação, correção e/ou adaptação da alteração proposta. </w:t>
      </w:r>
    </w:p>
    <w:p w14:paraId="6D476B29" w14:textId="0909A061" w:rsidR="00636EC2" w:rsidRPr="0039509F" w:rsidRDefault="00636EC2" w:rsidP="0039509F">
      <w:pPr>
        <w:pStyle w:val="ApTexto"/>
        <w:spacing w:before="0" w:after="360"/>
      </w:pPr>
      <w:r w:rsidRPr="0039509F">
        <w:t>N</w:t>
      </w:r>
      <w:r w:rsidR="003E0861" w:rsidRPr="0039509F">
        <w:t>os termos da Lei n. 14.133, de 2021, na licitação na modalidade pregão</w:t>
      </w:r>
      <w:r w:rsidR="003E0861" w:rsidRPr="00AA3775">
        <w:t xml:space="preserve">, </w:t>
      </w:r>
      <w:r w:rsidR="003E0861" w:rsidRPr="00AA3775">
        <w:rPr>
          <w:b/>
        </w:rPr>
        <w:t>o Termo de Referência previsto no art. 6º, XXIII, não traz especificações técnicas. Assim, tais aspectos devem ser apresentados por meio de outro documento, no caso um Projeto Básico, previsto no art. 6º, XXV, da Lei, que, quando necessário, deverá ser anexado ao Termo de Referência.</w:t>
      </w:r>
      <w:r w:rsidRPr="0039509F">
        <w:t xml:space="preserve"> Desse modo, deve ser comprovada a aptidão</w:t>
      </w:r>
      <w:r w:rsidR="005E7784" w:rsidRPr="0039509F">
        <w:t xml:space="preserve"> do responsável pelo Projeto Básico por meio da competente documentação de responsabilidade técnica, o que não se exige para o Termo de Referência.  </w:t>
      </w:r>
    </w:p>
    <w:p w14:paraId="682651BB" w14:textId="042834EB" w:rsidR="00C273AD" w:rsidRPr="0039509F" w:rsidRDefault="001E704A" w:rsidP="00A93963">
      <w:pPr>
        <w:pStyle w:val="ApTexto"/>
        <w:spacing w:before="0" w:after="360"/>
      </w:pPr>
      <w:hyperlink w:anchor="nt_3_retorno" w:history="1">
        <w:r w:rsidR="00A93963" w:rsidRPr="00A93963">
          <w:rPr>
            <w:rStyle w:val="Hyperlink"/>
          </w:rPr>
          <w:t>Voltar ao preenchimento</w:t>
        </w:r>
      </w:hyperlink>
    </w:p>
    <w:p w14:paraId="51C16883" w14:textId="5683CF8C" w:rsidR="00140381" w:rsidRPr="002240A4" w:rsidRDefault="00C273AD" w:rsidP="002240A4">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86" w:name="nt_4"/>
      <w:bookmarkStart w:id="87" w:name="_Toc142556219"/>
      <w:bookmarkEnd w:id="86"/>
      <w:r>
        <w:rPr>
          <w:rFonts w:asciiTheme="majorHAnsi" w:hAnsiTheme="majorHAnsi" w:cstheme="majorHAnsi"/>
          <w:color w:val="auto"/>
          <w:szCs w:val="24"/>
        </w:rPr>
        <w:t>DEFINIÇÃO DOS CUSTOS UNITÁRIOS DE REFERÊNCIA</w:t>
      </w:r>
      <w:bookmarkEnd w:id="87"/>
    </w:p>
    <w:p w14:paraId="3251651F" w14:textId="4A5DC417" w:rsidR="001224A0" w:rsidRPr="001224A0" w:rsidRDefault="001224A0" w:rsidP="001224A0">
      <w:pPr>
        <w:pStyle w:val="ApTexto"/>
        <w:spacing w:before="0" w:after="360"/>
      </w:pPr>
      <w:bookmarkStart w:id="88" w:name="_Hlk142404525"/>
      <w:r w:rsidRPr="001224A0">
        <w:t xml:space="preserve">O valor estimado da contratação de obras e serviços de engenharia deve seguir as diretrizes do art. 23, §2º, da Lei n. 14.133, de 2021, que estabelece o uso dos parâmetros específicos abaixo estabelecidos, </w:t>
      </w:r>
      <w:r>
        <w:t>nessa</w:t>
      </w:r>
      <w:r w:rsidRPr="001224A0">
        <w:t xml:space="preserve"> </w:t>
      </w:r>
      <w:r w:rsidRPr="001224A0">
        <w:rPr>
          <w:b/>
          <w:bCs/>
        </w:rPr>
        <w:t>ordem de prioridade</w:t>
      </w:r>
      <w:r w:rsidRPr="001224A0">
        <w:t>:</w:t>
      </w:r>
    </w:p>
    <w:p w14:paraId="77A13485" w14:textId="77777777" w:rsidR="001224A0" w:rsidRPr="001224A0" w:rsidRDefault="001224A0" w:rsidP="001224A0">
      <w:pPr>
        <w:pStyle w:val="ApTexto"/>
        <w:spacing w:before="0" w:after="360"/>
      </w:pPr>
      <w:r w:rsidRPr="001224A0">
        <w:t>•</w:t>
      </w:r>
      <w:r w:rsidRPr="001224A0">
        <w:tab/>
        <w:t>composição de custos unitários menores ou iguais à mediana do item correspondente do Sistema de Custos Referenciais de Obras (</w:t>
      </w:r>
      <w:proofErr w:type="spellStart"/>
      <w:r w:rsidRPr="001224A0">
        <w:t>Sicro</w:t>
      </w:r>
      <w:proofErr w:type="spellEnd"/>
      <w:r w:rsidRPr="001224A0">
        <w:t>), para serviços e obras de infraestrutura de transportes, ou do Sistema Nacional de Pesquisa de Custos e Índices de Construção Civil (</w:t>
      </w:r>
      <w:proofErr w:type="spellStart"/>
      <w:r w:rsidRPr="001224A0">
        <w:t>Sinapi</w:t>
      </w:r>
      <w:proofErr w:type="spellEnd"/>
      <w:r w:rsidRPr="001224A0">
        <w:t>), para as demais obras e serviços de engenharia;</w:t>
      </w:r>
    </w:p>
    <w:p w14:paraId="7E68BF7C" w14:textId="77777777" w:rsidR="001224A0" w:rsidRPr="001224A0" w:rsidRDefault="001224A0" w:rsidP="001224A0">
      <w:pPr>
        <w:pStyle w:val="ApTexto"/>
        <w:spacing w:before="0" w:after="360"/>
      </w:pPr>
      <w:r w:rsidRPr="001224A0">
        <w:t>•</w:t>
      </w:r>
      <w:r w:rsidRPr="001224A0">
        <w:tab/>
        <w:t>utilização de dados de pesquisa publicada em mídia especializada, de tabela de referência formalmente aprovada pelo Poder Executivo federal e de sítios eletrônicos especializados ou de domínio amplo, desde que contenham a data e a hora de acesso;</w:t>
      </w:r>
    </w:p>
    <w:p w14:paraId="1386EAEA" w14:textId="77777777" w:rsidR="001224A0" w:rsidRPr="001224A0" w:rsidRDefault="001224A0" w:rsidP="001224A0">
      <w:pPr>
        <w:pStyle w:val="ApTexto"/>
        <w:spacing w:before="0" w:after="360"/>
      </w:pPr>
      <w:r w:rsidRPr="001224A0">
        <w:t>•</w:t>
      </w:r>
      <w:r w:rsidRPr="001224A0">
        <w:tab/>
        <w:t>contratações similares feitas pela Administração Pública, em execução ou concluídas no período de 1 ano anterior à data da pesquisa de preços, observado o índice de atualização de preços correspondente;</w:t>
      </w:r>
    </w:p>
    <w:p w14:paraId="39EED804" w14:textId="77777777" w:rsidR="001224A0" w:rsidRPr="001224A0" w:rsidRDefault="001224A0" w:rsidP="001224A0">
      <w:pPr>
        <w:pStyle w:val="ApTexto"/>
        <w:spacing w:before="0" w:after="360"/>
      </w:pPr>
      <w:r w:rsidRPr="001224A0">
        <w:t>•</w:t>
      </w:r>
      <w:r w:rsidRPr="001224A0">
        <w:tab/>
        <w:t>pesquisa na base nacional de notas fiscais eletrônicas, na forma de regulamento.</w:t>
      </w:r>
    </w:p>
    <w:p w14:paraId="1AE1F676" w14:textId="77777777" w:rsidR="001224A0" w:rsidRDefault="001224A0" w:rsidP="001224A0">
      <w:pPr>
        <w:pStyle w:val="ApTexto"/>
        <w:spacing w:before="0" w:after="360"/>
      </w:pPr>
      <w:r w:rsidRPr="001224A0">
        <w:t xml:space="preserve">Desse modo, os critérios subsequentes somente serão usados quando, </w:t>
      </w:r>
      <w:r w:rsidRPr="001224A0">
        <w:rPr>
          <w:b/>
          <w:bCs/>
        </w:rPr>
        <w:t>justificadamente</w:t>
      </w:r>
      <w:r w:rsidRPr="001224A0">
        <w:t xml:space="preserve">, o preço de referência não puder ser definido por meio dos critérios anteriores. </w:t>
      </w:r>
    </w:p>
    <w:p w14:paraId="4466FC02" w14:textId="57AF7686" w:rsidR="00B93C8A" w:rsidRDefault="00B93C8A" w:rsidP="001224A0">
      <w:pPr>
        <w:pStyle w:val="ApTexto"/>
        <w:spacing w:before="0" w:after="360"/>
      </w:pPr>
      <w:r>
        <w:t>Conforme faculta o § 3º do art. 23 da Lei n.º 14.133, de 2021, “n</w:t>
      </w:r>
      <w:r w:rsidRPr="00B93C8A">
        <w:t>as contratações realizadas por Municípios, Estados e Distrito Federal, desde que não envolvam recursos da União, o valor previamente estimado da contratação, a que se refere o caput deste artigo, poderá ser definido por meio da utilização de outros sistemas de custos adotados pelo respectivo ente federativo</w:t>
      </w:r>
      <w:r>
        <w:t>”</w:t>
      </w:r>
      <w:r w:rsidRPr="00B93C8A">
        <w:t>.</w:t>
      </w:r>
    </w:p>
    <w:p w14:paraId="06DDCD72" w14:textId="2B89797A" w:rsidR="009D08A0" w:rsidRDefault="009D08A0" w:rsidP="001224A0">
      <w:pPr>
        <w:pStyle w:val="ApTexto"/>
        <w:spacing w:before="0" w:after="360"/>
      </w:pPr>
      <w:r>
        <w:t xml:space="preserve">O Decreto Municipal n.º 036, de 2023, reproduz o rol de parâmetros listados no art. 23 da Lei n.º 14.133, de 2021, diferindo unicamente quando coloco como primeiro critério a </w:t>
      </w:r>
      <w:r w:rsidRPr="009D08A0">
        <w:t xml:space="preserve">composição de custos unitários menores ou iguais à mediana do item correspondente da </w:t>
      </w:r>
      <w:r w:rsidRPr="009D08A0">
        <w:rPr>
          <w:b/>
          <w:u w:val="single"/>
        </w:rPr>
        <w:t>Tabela de Referência adotada pelo órgão ou entidade licitante</w:t>
      </w:r>
      <w:r>
        <w:rPr>
          <w:b/>
          <w:u w:val="single"/>
        </w:rPr>
        <w:t xml:space="preserve">. </w:t>
      </w:r>
      <w:r>
        <w:t>Tal previsão, pois, implica a existência de uma Tabela de referência adotada pelo Município. Não havendo, deve-se seguir o rol do art. 23 da Lei n.º 14.133, de 2021.</w:t>
      </w:r>
    </w:p>
    <w:p w14:paraId="69B8BAA5" w14:textId="5213A6E1" w:rsidR="001224A0" w:rsidRPr="001224A0" w:rsidRDefault="001224A0" w:rsidP="001224A0">
      <w:pPr>
        <w:pStyle w:val="ApTexto"/>
        <w:spacing w:before="0" w:after="360"/>
      </w:pPr>
      <w:r w:rsidRPr="001224A0">
        <w:t xml:space="preserve">Ao adotar quaisquer referenciais de custos externos ao SINAPI, cabe ao setor técnico optar por aqueles que melhor se amoldam ao projeto da obra ou serviço, levando em consideração especialmente a adequação dos quantitativos, dos coeficientes de produtividade e a compatibilidade dos valores dos insumos e da mão de obra com a realidade do local da </w:t>
      </w:r>
      <w:r w:rsidRPr="001224A0">
        <w:lastRenderedPageBreak/>
        <w:t xml:space="preserve">execução do contrato. Essa avaliação deve constar da </w:t>
      </w:r>
      <w:r w:rsidRPr="00FD7DBB">
        <w:rPr>
          <w:b/>
          <w:bCs/>
        </w:rPr>
        <w:t>justificativa específica</w:t>
      </w:r>
      <w:r w:rsidRPr="001224A0">
        <w:t xml:space="preserve"> a ser preenchida pelo profissional responsável pelo </w:t>
      </w:r>
      <w:r w:rsidR="00CC02C7">
        <w:t xml:space="preserve">Termo de Justificativas Técnicas Relevantes - </w:t>
      </w:r>
      <w:r w:rsidRPr="001224A0">
        <w:t>TJTR.</w:t>
      </w:r>
    </w:p>
    <w:p w14:paraId="6EDD4B78" w14:textId="77777777" w:rsidR="001224A0" w:rsidRPr="001224A0" w:rsidRDefault="001224A0" w:rsidP="001224A0">
      <w:pPr>
        <w:pStyle w:val="ApTexto"/>
        <w:spacing w:before="0" w:after="360"/>
      </w:pPr>
      <w:r w:rsidRPr="001224A0">
        <w:t xml:space="preserve">Quanto ao uso de sistema privado de orçamentação (a exemplo do SBC), o TCU apontou que sua utilização não constitui irregularidade, todavia ele ressalvou, no item 9.1.4 Acórdão n. 2595/2021-Plenário, que </w:t>
      </w:r>
    </w:p>
    <w:p w14:paraId="3AA51A47" w14:textId="3F6EA13F" w:rsidR="001224A0" w:rsidRPr="00FD7DBB" w:rsidRDefault="001224A0" w:rsidP="00FD7DBB">
      <w:pPr>
        <w:pStyle w:val="ApCitao"/>
        <w:spacing w:before="0" w:after="360"/>
        <w:ind w:left="2552" w:firstLine="0"/>
        <w:rPr>
          <w:sz w:val="22"/>
          <w:szCs w:val="22"/>
        </w:rPr>
      </w:pPr>
      <w:r w:rsidRPr="00FD7DBB">
        <w:rPr>
          <w:sz w:val="22"/>
          <w:szCs w:val="22"/>
        </w:rPr>
        <w:t>(...) o uso de sistemas privados de referência de custos para obras e serviços de engenharia, como o SBC, sem avaliação de sua compatibilidade com os parâmetros de mercado, e sem a realização de adequadas pesquisas de preços, para fins comparativos, está em desacordo com o art. 6º, inciso IX, "f", da Lei 8.666/1993, com o princípios da eficiência e da economicidade, e é contrária ao entendimento do TCU formatado nos Acórdãos 555/2008, 702/2008, 837/2008, 283/2008, 1.108/2007, 2.062/2007 e 1.947/2007, todos do Plenário.</w:t>
      </w:r>
      <w:r w:rsidR="00FD7DBB">
        <w:rPr>
          <w:sz w:val="22"/>
          <w:szCs w:val="22"/>
        </w:rPr>
        <w:t xml:space="preserve"> </w:t>
      </w:r>
      <w:r w:rsidRPr="00FD7DBB">
        <w:rPr>
          <w:sz w:val="22"/>
          <w:szCs w:val="22"/>
        </w:rPr>
        <w:t xml:space="preserve"> </w:t>
      </w:r>
    </w:p>
    <w:p w14:paraId="6AEDEDFB" w14:textId="77777777" w:rsidR="001224A0" w:rsidRPr="001224A0" w:rsidRDefault="001224A0" w:rsidP="001224A0">
      <w:pPr>
        <w:pStyle w:val="ApTexto"/>
        <w:spacing w:before="0" w:after="360"/>
      </w:pPr>
      <w:r w:rsidRPr="001224A0">
        <w:t xml:space="preserve">Assim, em sua justificativa, o responsável pelo TJTR deve demonstrar a atenção dada a essa orientação. </w:t>
      </w:r>
    </w:p>
    <w:p w14:paraId="44CFAE5E" w14:textId="77777777" w:rsidR="001224A0" w:rsidRPr="001224A0" w:rsidRDefault="001224A0" w:rsidP="001224A0">
      <w:pPr>
        <w:pStyle w:val="ApTexto"/>
        <w:spacing w:before="0" w:after="360"/>
      </w:pPr>
      <w:r w:rsidRPr="001224A0">
        <w:t xml:space="preserve">Por fim, relativamente à contratação de obras e serviços de engenharia sob os regimes de contratação integrada ou </w:t>
      </w:r>
      <w:proofErr w:type="spellStart"/>
      <w:r w:rsidRPr="001224A0">
        <w:t>semi-integrada</w:t>
      </w:r>
      <w:proofErr w:type="spellEnd"/>
      <w:r w:rsidRPr="001224A0">
        <w:t xml:space="preserve">, observe-se o que determina o art. 23, §5º, da Lei n. 14.133, de 2021. </w:t>
      </w:r>
      <w:bookmarkEnd w:id="88"/>
    </w:p>
    <w:p w14:paraId="55246025" w14:textId="34AFC683" w:rsidR="00523CFA" w:rsidRPr="0039509F" w:rsidRDefault="001E704A" w:rsidP="0039509F">
      <w:pPr>
        <w:pStyle w:val="ApTexto"/>
        <w:spacing w:before="0" w:after="360"/>
        <w:rPr>
          <w:color w:val="000000" w:themeColor="text1"/>
        </w:rPr>
      </w:pPr>
      <w:hyperlink w:anchor="nt_4_retorno" w:history="1">
        <w:r w:rsidR="00A93963" w:rsidRPr="00A93963">
          <w:rPr>
            <w:rStyle w:val="Hyperlink"/>
          </w:rPr>
          <w:t>Voltar ao preenchimento</w:t>
        </w:r>
      </w:hyperlink>
    </w:p>
    <w:p w14:paraId="52452BFE" w14:textId="3E535DF3" w:rsidR="00F56A97" w:rsidRPr="007C759E" w:rsidRDefault="000558AF"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89" w:name="nt_5"/>
      <w:bookmarkStart w:id="90" w:name="_Ref136507341"/>
      <w:bookmarkStart w:id="91" w:name="_Toc142556220"/>
      <w:bookmarkEnd w:id="89"/>
      <w:r>
        <w:rPr>
          <w:rFonts w:asciiTheme="majorHAnsi" w:hAnsiTheme="majorHAnsi" w:cstheme="majorHAnsi"/>
          <w:color w:val="auto"/>
          <w:szCs w:val="24"/>
        </w:rPr>
        <w:t>ORÇAMENTO DETALHADO EM PLANILHA DE CUSTOS UNITÁRIOS</w:t>
      </w:r>
      <w:bookmarkEnd w:id="90"/>
      <w:bookmarkEnd w:id="91"/>
    </w:p>
    <w:p w14:paraId="5770C37A" w14:textId="77777777" w:rsidR="000558AF" w:rsidRPr="000558AF" w:rsidRDefault="000558AF" w:rsidP="000558AF">
      <w:pPr>
        <w:pStyle w:val="ApTexto"/>
        <w:spacing w:before="0" w:after="360"/>
        <w:rPr>
          <w:lang w:eastAsia="pt-BR"/>
        </w:rPr>
      </w:pPr>
      <w:r w:rsidRPr="000558AF">
        <w:rPr>
          <w:lang w:eastAsia="pt-BR"/>
        </w:rPr>
        <w:t xml:space="preserve">Via de regra, uma vez que o orçamentista tenha definido os custos que integrarão o orçamento de referência da Administração, o valor estimado nessas contratações será expresso por meio da elaboração do orçamento detalhado em planilhas de custos unitários. </w:t>
      </w:r>
    </w:p>
    <w:p w14:paraId="1C07FB8F" w14:textId="77777777" w:rsidR="000558AF" w:rsidRPr="000558AF" w:rsidRDefault="000558AF" w:rsidP="000558AF">
      <w:pPr>
        <w:pStyle w:val="ApTexto"/>
        <w:spacing w:before="0" w:after="360"/>
        <w:rPr>
          <w:lang w:eastAsia="pt-BR"/>
        </w:rPr>
      </w:pPr>
      <w:r w:rsidRPr="000558AF">
        <w:rPr>
          <w:lang w:eastAsia="pt-BR"/>
        </w:rPr>
        <w:t>Geralmente, tal orçamento é composto por duas planilhas: sintética e analítica.</w:t>
      </w:r>
    </w:p>
    <w:p w14:paraId="794A676D" w14:textId="77777777" w:rsidR="000558AF" w:rsidRPr="000558AF" w:rsidRDefault="000558AF" w:rsidP="000558AF">
      <w:pPr>
        <w:pStyle w:val="ApTexto"/>
        <w:spacing w:before="0" w:after="360"/>
        <w:rPr>
          <w:lang w:eastAsia="pt-BR"/>
        </w:rPr>
      </w:pPr>
      <w:r w:rsidRPr="000558AF">
        <w:rPr>
          <w:lang w:eastAsia="pt-BR"/>
        </w:rPr>
        <w:t>A planilha sintética traz os custos unitários de referência e os quantitativos de cada serviço necessário à plena execução da obra – chegando ao custo total de referência do serviço.</w:t>
      </w:r>
    </w:p>
    <w:p w14:paraId="366EAF91" w14:textId="77777777" w:rsidR="000558AF" w:rsidRPr="000558AF" w:rsidRDefault="000558AF" w:rsidP="000558AF">
      <w:pPr>
        <w:pStyle w:val="ApTexto"/>
        <w:spacing w:before="0" w:after="360"/>
        <w:rPr>
          <w:lang w:eastAsia="pt-BR"/>
        </w:rPr>
      </w:pPr>
      <w:r w:rsidRPr="000558AF">
        <w:rPr>
          <w:lang w:eastAsia="pt-BR"/>
        </w:rPr>
        <w:t>Os custos totais de referência de todos os serviços são, então, somados, chegando ao custo global de referência da obra – sobre o qual incide o valor percentual do BDI (Benefícios e Despesas Indiretas), a fim de obter o preço global de referência da obra, que guiará a aceitação das propostas dos licitantes.</w:t>
      </w:r>
    </w:p>
    <w:p w14:paraId="4F5227F7" w14:textId="77777777" w:rsidR="000558AF" w:rsidRPr="000558AF" w:rsidRDefault="000558AF" w:rsidP="000558AF">
      <w:pPr>
        <w:pStyle w:val="ApTexto"/>
        <w:spacing w:before="0" w:after="360"/>
        <w:rPr>
          <w:lang w:eastAsia="pt-BR"/>
        </w:rPr>
      </w:pPr>
      <w:r w:rsidRPr="000558AF">
        <w:rPr>
          <w:lang w:eastAsia="pt-BR"/>
        </w:rPr>
        <w:t xml:space="preserve">No que diz respeito à contratação sob os regimes de contratação integrada ou </w:t>
      </w:r>
      <w:proofErr w:type="spellStart"/>
      <w:r w:rsidRPr="000558AF">
        <w:rPr>
          <w:lang w:eastAsia="pt-BR"/>
        </w:rPr>
        <w:t>semi-integrada</w:t>
      </w:r>
      <w:proofErr w:type="spellEnd"/>
      <w:r w:rsidRPr="000558AF">
        <w:rPr>
          <w:lang w:eastAsia="pt-BR"/>
        </w:rPr>
        <w:t>, “sempre que necessário e o anteprojeto o permitir, a estimativa de preço será baseada em orçamento sintético” (art. 23, §5º, da Lei n. 14.133, de 2021).</w:t>
      </w:r>
    </w:p>
    <w:p w14:paraId="1DD403DA" w14:textId="77777777" w:rsidR="000558AF" w:rsidRPr="000558AF" w:rsidRDefault="000558AF" w:rsidP="000558AF">
      <w:pPr>
        <w:pStyle w:val="ApTexto"/>
        <w:spacing w:before="0" w:after="360"/>
        <w:rPr>
          <w:lang w:eastAsia="pt-BR"/>
        </w:rPr>
      </w:pPr>
      <w:r w:rsidRPr="000558AF">
        <w:rPr>
          <w:lang w:eastAsia="pt-BR"/>
        </w:rPr>
        <w:lastRenderedPageBreak/>
        <w:t>Já a planilha analítica, como veremos no tópico a seguir, traz as composições de custo unitário de cada serviço inserido na planilha sintética – registrando a descrição, quantidades, produtividades e custos unitários dos materiais, mão de obra e equipamentos necessários à execução de uma unidade de medida do referido serviço.</w:t>
      </w:r>
    </w:p>
    <w:p w14:paraId="69A482DB" w14:textId="77777777" w:rsidR="000558AF" w:rsidRPr="000558AF" w:rsidRDefault="000558AF" w:rsidP="000558AF">
      <w:pPr>
        <w:pStyle w:val="ApTexto"/>
        <w:spacing w:before="0" w:after="360"/>
        <w:rPr>
          <w:lang w:eastAsia="pt-BR"/>
        </w:rPr>
      </w:pPr>
      <w:r w:rsidRPr="000558AF">
        <w:rPr>
          <w:lang w:eastAsia="pt-BR"/>
        </w:rPr>
        <w:t xml:space="preserve">Para assegurar a compatibilidade com os valores praticados pelo mercado, é indispensável que o intervalo entre a elaboração das planilhas do custo total estimado do empreendimento e a data de divulgação do edital não deve ser superior a um ano, conforme voto proferido no Acórdão TCU n. 2265/2020-Plenário, do qual se destaca o item 20: </w:t>
      </w:r>
    </w:p>
    <w:p w14:paraId="673D0265" w14:textId="77777777" w:rsidR="000558AF" w:rsidRPr="000558AF" w:rsidRDefault="000558AF" w:rsidP="000558AF">
      <w:pPr>
        <w:pStyle w:val="ApCitao"/>
        <w:spacing w:before="0" w:after="360"/>
        <w:ind w:left="2552" w:firstLine="0"/>
        <w:rPr>
          <w:sz w:val="22"/>
          <w:szCs w:val="22"/>
        </w:rPr>
      </w:pPr>
      <w:r w:rsidRPr="000558AF">
        <w:rPr>
          <w:sz w:val="22"/>
          <w:szCs w:val="22"/>
        </w:rPr>
        <w:t xml:space="preserve">Assim, a IN 73/2020 admite prazos de até 1 ano entre as referências pesquisadas e a data de divulgação do instrumento convocatório, prazo que julgo ser adequado também para a validade de um orçamento estimativo visando a licitação de uma obra pública. </w:t>
      </w:r>
    </w:p>
    <w:p w14:paraId="2A91B9AE" w14:textId="77777777" w:rsidR="000558AF" w:rsidRPr="00614A32" w:rsidRDefault="000558AF" w:rsidP="000558AF">
      <w:pPr>
        <w:pStyle w:val="ApTexto"/>
        <w:spacing w:before="0" w:after="360"/>
        <w:rPr>
          <w:color w:val="FF0000"/>
        </w:rPr>
      </w:pPr>
      <w:r w:rsidRPr="000558AF">
        <w:rPr>
          <w:lang w:eastAsia="pt-BR"/>
        </w:rPr>
        <w:t>Como já expusemos em tópico anterior, a documentação de responsabilidade técnica pelas planilhas orçamentárias deverá constar do projeto que integrar o edital de licitação, inclusive de suas eventuais alterações</w:t>
      </w:r>
      <w:r w:rsidRPr="00614A32">
        <w:rPr>
          <w:color w:val="FF0000"/>
          <w:lang w:eastAsia="pt-BR"/>
        </w:rPr>
        <w:t xml:space="preserve">.  </w:t>
      </w:r>
    </w:p>
    <w:p w14:paraId="169154AB" w14:textId="33911A58" w:rsidR="002E434E" w:rsidRPr="0039509F" w:rsidRDefault="001E704A" w:rsidP="0039509F">
      <w:pPr>
        <w:pStyle w:val="ApTexto"/>
        <w:spacing w:before="0" w:after="360"/>
      </w:pPr>
      <w:hyperlink w:anchor="nt_5_retorno" w:history="1">
        <w:r w:rsidR="00A93963" w:rsidRPr="00A93963">
          <w:rPr>
            <w:rStyle w:val="Hyperlink"/>
          </w:rPr>
          <w:t>Voltar ao preenchimento</w:t>
        </w:r>
      </w:hyperlink>
    </w:p>
    <w:p w14:paraId="7E60639D" w14:textId="40AC1752" w:rsidR="00864D51" w:rsidRPr="007C759E" w:rsidRDefault="002E434E"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92" w:name="_Ref136507357"/>
      <w:bookmarkStart w:id="93" w:name="_Toc142556221"/>
      <w:bookmarkStart w:id="94" w:name="nt_6"/>
      <w:r w:rsidRPr="007C759E">
        <w:rPr>
          <w:rFonts w:asciiTheme="majorHAnsi" w:hAnsiTheme="majorHAnsi" w:cstheme="majorHAnsi"/>
          <w:color w:val="auto"/>
          <w:szCs w:val="24"/>
        </w:rPr>
        <w:t>ELABORAÇÃO DAS COMPOSIÇÕES DE CUSTOS UNITÁRIOS</w:t>
      </w:r>
      <w:bookmarkEnd w:id="92"/>
      <w:bookmarkEnd w:id="93"/>
    </w:p>
    <w:bookmarkEnd w:id="94"/>
    <w:p w14:paraId="62604949" w14:textId="77777777" w:rsidR="000558AF" w:rsidRPr="0039509F" w:rsidRDefault="000558AF" w:rsidP="000558AF">
      <w:pPr>
        <w:pStyle w:val="ApTexto"/>
        <w:spacing w:before="0" w:after="360"/>
        <w:rPr>
          <w:lang w:eastAsia="pt-BR"/>
        </w:rPr>
      </w:pPr>
      <w:r w:rsidRPr="000558AF">
        <w:rPr>
          <w:lang w:eastAsia="pt-BR"/>
        </w:rPr>
        <w:t xml:space="preserve">Nos casos que demandarem a elaboração da </w:t>
      </w:r>
      <w:r w:rsidRPr="0039509F">
        <w:rPr>
          <w:lang w:eastAsia="pt-BR"/>
        </w:rPr>
        <w:t>planilha analítica</w:t>
      </w:r>
      <w:r>
        <w:rPr>
          <w:lang w:eastAsia="pt-BR"/>
        </w:rPr>
        <w:t>,</w:t>
      </w:r>
      <w:r w:rsidRPr="000558AF">
        <w:rPr>
          <w:lang w:eastAsia="pt-BR"/>
        </w:rPr>
        <w:t xml:space="preserve"> como já esclarecemos acima, tal documento deverá conter</w:t>
      </w:r>
      <w:r w:rsidRPr="0039509F">
        <w:rPr>
          <w:lang w:eastAsia="pt-BR"/>
        </w:rPr>
        <w:t xml:space="preserve"> o detalhamento de todos os insumos necessários à composição do custo unitário de cada um dos itens que compõem a obra, incluindo não apenas os materiais, como também a mão de obra e os equipamentos, com os respectivos quantitativos e índices de produtividade.</w:t>
      </w:r>
    </w:p>
    <w:p w14:paraId="46031A95" w14:textId="3EE2DFBC" w:rsidR="00DD1EB9" w:rsidRPr="0039509F" w:rsidRDefault="00DD1EB9" w:rsidP="0039509F">
      <w:pPr>
        <w:pStyle w:val="ApTexto"/>
        <w:spacing w:before="0" w:after="360"/>
        <w:rPr>
          <w:lang w:eastAsia="pt-BR"/>
        </w:rPr>
      </w:pPr>
      <w:r w:rsidRPr="0039509F">
        <w:rPr>
          <w:lang w:eastAsia="pt-BR"/>
        </w:rPr>
        <w:t>Segundo a Súmula TCU n</w:t>
      </w:r>
      <w:r w:rsidR="00145998" w:rsidRPr="0039509F">
        <w:rPr>
          <w:lang w:eastAsia="pt-BR"/>
        </w:rPr>
        <w:t>.</w:t>
      </w:r>
      <w:r w:rsidRPr="0039509F">
        <w:rPr>
          <w:lang w:eastAsia="pt-BR"/>
        </w:rPr>
        <w:t xml:space="preserve"> 258/2010, "as composições de custos unitários e o detalhamento de encargos sociais e do BDI integram o orçamento que compõe o projeto básico da obra ou serviço de engenharia, devem constar dos anexos do edital de licitação e das propostas das licitantes e não podem ser indicados mediante uso da expressão "verba" ou de unidades genéricas".</w:t>
      </w:r>
    </w:p>
    <w:p w14:paraId="001FA451" w14:textId="60FB0312" w:rsidR="00DD1EB9" w:rsidRPr="0039509F" w:rsidRDefault="00E2528B" w:rsidP="0039509F">
      <w:pPr>
        <w:pStyle w:val="ApTexto"/>
        <w:spacing w:before="0" w:after="360"/>
        <w:rPr>
          <w:lang w:eastAsia="pt-BR"/>
        </w:rPr>
      </w:pPr>
      <w:r>
        <w:rPr>
          <w:b/>
          <w:lang w:eastAsia="pt-BR"/>
        </w:rPr>
        <w:t>P</w:t>
      </w:r>
      <w:r w:rsidR="00DD1EB9" w:rsidRPr="0039509F">
        <w:rPr>
          <w:b/>
          <w:lang w:eastAsia="pt-BR"/>
        </w:rPr>
        <w:t>ara os custos de referência extraídos do SINAPI, parece desnecessária a juntada das composições que lhes dão suporte</w:t>
      </w:r>
      <w:r w:rsidR="00DD1EB9" w:rsidRPr="0039509F">
        <w:rPr>
          <w:lang w:eastAsia="pt-BR"/>
        </w:rPr>
        <w:t xml:space="preserve"> - pois trata-se de sistema oficial de livre acesso, bastando ao interessado consultar o respectivo código junto à tabela analítica do SINAPI para saber exatamente como foram calculados e quais custos estão ali embutidos.</w:t>
      </w:r>
    </w:p>
    <w:p w14:paraId="6C241280" w14:textId="77777777" w:rsidR="000558AF" w:rsidRPr="00E2528B" w:rsidRDefault="000558AF" w:rsidP="000558AF">
      <w:pPr>
        <w:pStyle w:val="ApTexto"/>
        <w:spacing w:before="0" w:after="360"/>
        <w:rPr>
          <w:lang w:eastAsia="pt-BR"/>
        </w:rPr>
      </w:pPr>
      <w:r w:rsidRPr="00E2528B">
        <w:rPr>
          <w:lang w:eastAsia="pt-BR"/>
        </w:rPr>
        <w:t xml:space="preserve">Todavia, em caso de adoção de especificidades locais ou de projeto na elaboração das respectivas composições de custo unitário, </w:t>
      </w:r>
      <w:r w:rsidRPr="00E2528B">
        <w:rPr>
          <w:b/>
          <w:lang w:eastAsia="pt-BR"/>
        </w:rPr>
        <w:t xml:space="preserve">desde que demonstrada a pertinência dos ajustes para a obra ou serviço de engenharia, em relatório técnico elaborado por profissional habilitado, </w:t>
      </w:r>
      <w:r w:rsidRPr="00E2528B">
        <w:rPr>
          <w:lang w:eastAsia="pt-BR"/>
        </w:rPr>
        <w:t xml:space="preserve">as composições do SINAPI poderão ser “adaptadas” </w:t>
      </w:r>
      <w:proofErr w:type="gramStart"/>
      <w:r w:rsidRPr="00E2528B">
        <w:rPr>
          <w:lang w:eastAsia="pt-BR"/>
        </w:rPr>
        <w:t>e  deverão</w:t>
      </w:r>
      <w:proofErr w:type="gramEnd"/>
      <w:r w:rsidRPr="00E2528B">
        <w:rPr>
          <w:lang w:eastAsia="pt-BR"/>
        </w:rPr>
        <w:t xml:space="preserve"> ser </w:t>
      </w:r>
      <w:r w:rsidRPr="00E2528B">
        <w:rPr>
          <w:b/>
          <w:lang w:eastAsia="pt-BR"/>
        </w:rPr>
        <w:t>obrigatoriamente</w:t>
      </w:r>
      <w:r w:rsidRPr="00E2528B">
        <w:rPr>
          <w:lang w:eastAsia="pt-BR"/>
        </w:rPr>
        <w:t xml:space="preserve"> juntadas aos autos, para o devido conhecimento dos licitantes. </w:t>
      </w:r>
    </w:p>
    <w:p w14:paraId="5755B49B" w14:textId="77777777" w:rsidR="00E2528B" w:rsidRPr="00E2528B" w:rsidRDefault="00E2528B" w:rsidP="00E2528B">
      <w:pPr>
        <w:pStyle w:val="ApTexto"/>
        <w:spacing w:before="0" w:after="360"/>
        <w:rPr>
          <w:rFonts w:eastAsia="Times New Roman"/>
          <w:lang w:eastAsia="pt-BR"/>
        </w:rPr>
      </w:pPr>
      <w:r w:rsidRPr="00E2528B">
        <w:rPr>
          <w:lang w:eastAsia="pt-BR"/>
        </w:rPr>
        <w:lastRenderedPageBreak/>
        <w:t xml:space="preserve">Nos casos em que houver </w:t>
      </w:r>
      <w:r w:rsidRPr="00E2528B">
        <w:rPr>
          <w:b/>
          <w:lang w:eastAsia="pt-BR"/>
        </w:rPr>
        <w:t>adaptação</w:t>
      </w:r>
      <w:r w:rsidRPr="00E2528B">
        <w:rPr>
          <w:lang w:eastAsia="pt-BR"/>
        </w:rPr>
        <w:t xml:space="preserve"> de composições já existentes no Sistema SINAPI/SICRO, </w:t>
      </w:r>
      <w:r w:rsidRPr="00E2528B">
        <w:rPr>
          <w:b/>
          <w:lang w:eastAsia="pt-BR"/>
        </w:rPr>
        <w:t>preferencialmente</w:t>
      </w:r>
      <w:r w:rsidRPr="00E2528B">
        <w:rPr>
          <w:lang w:eastAsia="pt-BR"/>
        </w:rPr>
        <w:t xml:space="preserve">, deve-se utilizar insumos ou composições também extraídas desses sistemas </w:t>
      </w:r>
      <w:r w:rsidRPr="00E2528B">
        <w:rPr>
          <w:rFonts w:eastAsia="Times New Roman"/>
          <w:lang w:eastAsia="pt-BR"/>
        </w:rPr>
        <w:t>vez que a Lei n. 14.133, de 2021, exige que a utilização de outras fontes somente ocorra por inviabilidade de utilização dos elementos das composições oficiais.</w:t>
      </w:r>
    </w:p>
    <w:p w14:paraId="09B8A6B0" w14:textId="77777777" w:rsidR="0029272B" w:rsidRPr="0029272B" w:rsidRDefault="0029272B" w:rsidP="0029272B">
      <w:pPr>
        <w:pStyle w:val="ApTexto"/>
        <w:spacing w:before="0" w:after="360"/>
        <w:rPr>
          <w:lang w:eastAsia="pt-BR"/>
        </w:rPr>
      </w:pPr>
      <w:r w:rsidRPr="0029272B">
        <w:rPr>
          <w:lang w:eastAsia="pt-BR"/>
        </w:rPr>
        <w:t xml:space="preserve">No que diz respeito aos demais custos de referência extraídos de fontes </w:t>
      </w:r>
      <w:proofErr w:type="spellStart"/>
      <w:r w:rsidRPr="0029272B">
        <w:rPr>
          <w:lang w:eastAsia="pt-BR"/>
        </w:rPr>
        <w:t>extra-SINAPI</w:t>
      </w:r>
      <w:proofErr w:type="spellEnd"/>
      <w:r w:rsidRPr="0029272B">
        <w:rPr>
          <w:lang w:eastAsia="pt-BR"/>
        </w:rPr>
        <w:t xml:space="preserve"> – dentre aquelas autorizadas no art. 23, §2º da citada Lei – também é necessário que as respectivas composições de custos unitários sejam devidamente </w:t>
      </w:r>
      <w:r w:rsidRPr="0029272B">
        <w:rPr>
          <w:b/>
          <w:lang w:eastAsia="pt-BR"/>
        </w:rPr>
        <w:t>detalhadas e juntadas aos autos</w:t>
      </w:r>
      <w:r w:rsidRPr="0029272B">
        <w:rPr>
          <w:lang w:eastAsia="pt-BR"/>
        </w:rPr>
        <w:t xml:space="preserve"> – são as chamadas composições “próprias”. </w:t>
      </w:r>
    </w:p>
    <w:p w14:paraId="337CD05D" w14:textId="432B0687" w:rsidR="0029272B" w:rsidRPr="0029272B" w:rsidRDefault="0029272B" w:rsidP="0029272B">
      <w:pPr>
        <w:pStyle w:val="ApTexto"/>
        <w:spacing w:before="0" w:after="360"/>
        <w:rPr>
          <w:lang w:eastAsia="pt-BR"/>
        </w:rPr>
      </w:pPr>
      <w:bookmarkStart w:id="95" w:name="_Hlk142405279"/>
      <w:r w:rsidRPr="0029272B">
        <w:rPr>
          <w:lang w:eastAsia="pt-BR"/>
        </w:rPr>
        <w:t xml:space="preserve">Além de juntar aos autos as respectivas composições, no caso de utilização dessas outras fontes, cabe ao orçamentista se </w:t>
      </w:r>
      <w:r w:rsidRPr="0029272B">
        <w:rPr>
          <w:b/>
          <w:bCs/>
          <w:lang w:eastAsia="pt-BR"/>
        </w:rPr>
        <w:t>assegurar</w:t>
      </w:r>
      <w:r w:rsidRPr="0029272B">
        <w:rPr>
          <w:lang w:eastAsia="pt-BR"/>
        </w:rPr>
        <w:t xml:space="preserve"> de que se trata de fontes acessíveis aos licitantes e, quando se tratar de tabelas, que as planilhas de custos façam referência aos códigos utilizados por essas tabelas e que elas tenham sido devidamente aprovadas. </w:t>
      </w:r>
    </w:p>
    <w:bookmarkEnd w:id="95"/>
    <w:p w14:paraId="565256ED" w14:textId="77777777" w:rsidR="0029272B" w:rsidRPr="0029272B" w:rsidRDefault="0029272B" w:rsidP="0029272B">
      <w:pPr>
        <w:pStyle w:val="ApTexto"/>
        <w:spacing w:before="0" w:after="360"/>
        <w:rPr>
          <w:lang w:eastAsia="pt-BR"/>
        </w:rPr>
      </w:pPr>
      <w:r w:rsidRPr="0029272B">
        <w:rPr>
          <w:lang w:eastAsia="pt-BR"/>
        </w:rPr>
        <w:t xml:space="preserve">Deve-se notar que a escolha de materiais, profissionais ou atividades não relacionadas nos sistemas oficiais existentes recomenda a devida </w:t>
      </w:r>
      <w:r w:rsidRPr="0029272B">
        <w:rPr>
          <w:b/>
          <w:lang w:eastAsia="pt-BR"/>
        </w:rPr>
        <w:t>motivação técnica</w:t>
      </w:r>
      <w:r w:rsidRPr="0029272B">
        <w:rPr>
          <w:lang w:eastAsia="pt-BR"/>
        </w:rPr>
        <w:t>. Ademais, a utilização de mão de obra de profissionais não discriminados na tabela SINAPI, além da justificativa da necessidade específica do tipo de profissional, deverá apresentar a respectiva composição do custo unitário acompanhada da discriminação analítica de todos os tributos e encargos sociais incidentes sobre cada profissional.</w:t>
      </w:r>
    </w:p>
    <w:p w14:paraId="2FDDA574" w14:textId="77777777" w:rsidR="0029272B" w:rsidRDefault="0029272B" w:rsidP="0029272B">
      <w:pPr>
        <w:pStyle w:val="ApTexto"/>
        <w:spacing w:before="0" w:after="360"/>
        <w:rPr>
          <w:b/>
          <w:lang w:eastAsia="pt-BR"/>
        </w:rPr>
      </w:pPr>
      <w:r w:rsidRPr="00F0002C">
        <w:rPr>
          <w:b/>
          <w:lang w:eastAsia="pt-BR"/>
        </w:rPr>
        <w:t>Nesse sentido, a justificativa detalhada quanto à elaboração da planilha analítica, onde se certifique a observância de tais recomendações, mostra-se imperativa.</w:t>
      </w:r>
    </w:p>
    <w:p w14:paraId="17B159E8" w14:textId="6B34308C" w:rsidR="00F0002C" w:rsidRPr="00F0002C" w:rsidRDefault="001E704A" w:rsidP="0039509F">
      <w:pPr>
        <w:pStyle w:val="ApTexto"/>
        <w:spacing w:before="0" w:after="360"/>
        <w:rPr>
          <w:b/>
          <w:lang w:eastAsia="pt-BR"/>
        </w:rPr>
      </w:pPr>
      <w:hyperlink w:anchor="nt_6_retorno" w:history="1">
        <w:r w:rsidR="00A93963" w:rsidRPr="00A93963">
          <w:rPr>
            <w:rStyle w:val="Hyperlink"/>
          </w:rPr>
          <w:t>Voltar ao preenchimento</w:t>
        </w:r>
      </w:hyperlink>
    </w:p>
    <w:p w14:paraId="2E300AC7" w14:textId="160D5F0B" w:rsidR="007E7F32" w:rsidRPr="007C759E" w:rsidRDefault="00F0002C"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96" w:name="_Ref136507365"/>
      <w:bookmarkStart w:id="97" w:name="_Toc142556222"/>
      <w:bookmarkStart w:id="98" w:name="nt_7"/>
      <w:r w:rsidRPr="007C759E">
        <w:rPr>
          <w:rFonts w:asciiTheme="majorHAnsi" w:hAnsiTheme="majorHAnsi" w:cstheme="majorHAnsi"/>
          <w:color w:val="auto"/>
          <w:szCs w:val="24"/>
        </w:rPr>
        <w:t>CUSTOS DIRETOS</w:t>
      </w:r>
      <w:bookmarkEnd w:id="96"/>
      <w:bookmarkEnd w:id="97"/>
    </w:p>
    <w:bookmarkEnd w:id="98"/>
    <w:p w14:paraId="35AC1087" w14:textId="5C2B9A79" w:rsidR="00FB25F7" w:rsidRPr="0039509F" w:rsidRDefault="008456A9" w:rsidP="0039509F">
      <w:pPr>
        <w:pStyle w:val="ApTexto"/>
        <w:spacing w:before="0" w:after="360"/>
        <w:rPr>
          <w:lang w:eastAsia="pt-BR"/>
        </w:rPr>
      </w:pPr>
      <w:r w:rsidRPr="0039509F">
        <w:rPr>
          <w:lang w:eastAsia="pt-BR"/>
        </w:rPr>
        <w:t>Custos diretos são aqueles que podem ser discriminados nominalmente e surgem como novos para a contratada, exclusivamente em função das obrigações assumidas para a execução do contrato. Destarte, não podem ser considerados custos diretos os encargos tributários pré-existentes e os custos decorrentes da manutenção do escritório central da empresa.</w:t>
      </w:r>
      <w:r w:rsidR="00FB25F7" w:rsidRPr="0039509F">
        <w:rPr>
          <w:lang w:eastAsia="pt-BR"/>
        </w:rPr>
        <w:t xml:space="preserve"> </w:t>
      </w:r>
      <w:r w:rsidRPr="0039509F">
        <w:rPr>
          <w:lang w:eastAsia="pt-BR"/>
        </w:rPr>
        <w:t xml:space="preserve">Demais disso, </w:t>
      </w:r>
      <w:r w:rsidRPr="00E2528B">
        <w:rPr>
          <w:b/>
          <w:bCs/>
          <w:lang w:eastAsia="pt-BR"/>
        </w:rPr>
        <w:t>não podem ser cotados na composição do BDI</w:t>
      </w:r>
      <w:r w:rsidRPr="0039509F">
        <w:rPr>
          <w:lang w:eastAsia="pt-BR"/>
        </w:rPr>
        <w:t xml:space="preserve">. </w:t>
      </w:r>
    </w:p>
    <w:p w14:paraId="429B6A9D" w14:textId="071D546F" w:rsidR="008456A9" w:rsidRPr="00E2528B" w:rsidRDefault="008456A9" w:rsidP="0039509F">
      <w:pPr>
        <w:pStyle w:val="ApTexto"/>
        <w:spacing w:before="0" w:after="360"/>
        <w:rPr>
          <w:lang w:eastAsia="pt-BR"/>
        </w:rPr>
      </w:pPr>
      <w:r w:rsidRPr="0039509F">
        <w:rPr>
          <w:lang w:eastAsia="pt-BR"/>
        </w:rPr>
        <w:t xml:space="preserve">São classificados como </w:t>
      </w:r>
      <w:r w:rsidR="0049192F" w:rsidRPr="0039509F">
        <w:rPr>
          <w:lang w:eastAsia="pt-BR"/>
        </w:rPr>
        <w:t xml:space="preserve">custos </w:t>
      </w:r>
      <w:r w:rsidRPr="0039509F">
        <w:rPr>
          <w:lang w:eastAsia="pt-BR"/>
        </w:rPr>
        <w:t>diret</w:t>
      </w:r>
      <w:r w:rsidR="0049192F" w:rsidRPr="0039509F">
        <w:rPr>
          <w:lang w:eastAsia="pt-BR"/>
        </w:rPr>
        <w:t>o</w:t>
      </w:r>
      <w:r w:rsidRPr="0039509F">
        <w:rPr>
          <w:lang w:eastAsia="pt-BR"/>
        </w:rPr>
        <w:t xml:space="preserve">s os insumos materiais, a mão de obra empregada e os respectivos encargos suportados em razão exclusiva do cumprimento do contrato, a mobilização, a desmobilização, a instalação do canteiro e do acampamento, por </w:t>
      </w:r>
      <w:r w:rsidRPr="00E2528B">
        <w:rPr>
          <w:lang w:eastAsia="pt-BR"/>
        </w:rPr>
        <w:t xml:space="preserve">exemplo. </w:t>
      </w:r>
    </w:p>
    <w:p w14:paraId="3842A1B5" w14:textId="77777777" w:rsidR="00E2528B" w:rsidRPr="00E2528B" w:rsidRDefault="00E2528B" w:rsidP="00E2528B">
      <w:pPr>
        <w:pStyle w:val="ApTexto"/>
        <w:spacing w:before="0" w:after="360"/>
        <w:rPr>
          <w:lang w:eastAsia="pt-BR"/>
        </w:rPr>
      </w:pPr>
      <w:r w:rsidRPr="00E2528B">
        <w:rPr>
          <w:lang w:eastAsia="pt-BR"/>
        </w:rPr>
        <w:t>No Acórdão n. 2.622/2013-Plenário, o TCU também tratou especificamente do custo direto de administração local. Assim, após cuidadoso estudo, foram adotados os seguintes padrões para o percentual de administração local a ser inserido no custo direto da obra de construção de edifícios: 3,49% (1º quartil) - 6,23% (médio) - 8,87% (3º quartil).</w:t>
      </w:r>
    </w:p>
    <w:p w14:paraId="6F4270BF" w14:textId="77777777" w:rsidR="00E2528B" w:rsidRPr="00E2528B" w:rsidRDefault="00E2528B" w:rsidP="00E2528B">
      <w:pPr>
        <w:pStyle w:val="ApTexto"/>
        <w:spacing w:before="0" w:after="360"/>
        <w:rPr>
          <w:lang w:eastAsia="pt-BR"/>
        </w:rPr>
      </w:pPr>
      <w:r w:rsidRPr="00E2528B">
        <w:rPr>
          <w:lang w:eastAsia="pt-BR"/>
        </w:rPr>
        <w:lastRenderedPageBreak/>
        <w:t>Somente devem ser inseridas em tal rubrica as despesas efetivamente incorridas pela empresa ao executar a obra, devidamente detalhadas, conforme orientações do TCU – “Orientações para elaboração de planilhas orçamentárias de obras públicas”:</w:t>
      </w:r>
    </w:p>
    <w:p w14:paraId="62EC40FA" w14:textId="77777777" w:rsidR="00E2528B" w:rsidRPr="00E2528B" w:rsidRDefault="00E2528B" w:rsidP="00E2528B">
      <w:pPr>
        <w:pStyle w:val="ApTexto"/>
        <w:spacing w:before="0" w:after="360"/>
        <w:rPr>
          <w:lang w:eastAsia="pt-BR"/>
        </w:rPr>
      </w:pPr>
      <w:r w:rsidRPr="00E2528B">
        <w:rPr>
          <w:lang w:eastAsia="pt-BR"/>
        </w:rPr>
        <w:t xml:space="preserve">É importante também observar que a administração local depende da estrutura organizacional que o construtor vier a montar para a condução de cada obra e de sua respectiva lotação de pessoal. Não existe modelo rígido para esta estrutura, mas deve-se observar a legislação profissional do Sistema </w:t>
      </w:r>
      <w:proofErr w:type="spellStart"/>
      <w:r w:rsidRPr="00E2528B">
        <w:rPr>
          <w:lang w:eastAsia="pt-BR"/>
        </w:rPr>
        <w:t>Confea</w:t>
      </w:r>
      <w:proofErr w:type="spellEnd"/>
      <w:r w:rsidRPr="00E2528B">
        <w:rPr>
          <w:lang w:eastAsia="pt-BR"/>
        </w:rPr>
        <w:t xml:space="preserve"> e as normas relativas à higiene e segurança do trabalho. As peculiaridades inerentes a cada obra determinarão a estrutura organizacional necessária para bem administrá-la. A concepção dessa organização, bem como da lotação em termos de recursos humanos requeridos, é tarefa de planejamento, específica do executor da obra.</w:t>
      </w:r>
    </w:p>
    <w:p w14:paraId="1C859EC0" w14:textId="77777777" w:rsidR="00E2528B" w:rsidRPr="00E2528B" w:rsidRDefault="00E2528B" w:rsidP="00E2528B">
      <w:pPr>
        <w:pStyle w:val="ApTexto"/>
        <w:spacing w:before="0" w:after="360"/>
        <w:rPr>
          <w:lang w:eastAsia="pt-BR"/>
        </w:rPr>
      </w:pPr>
      <w:r w:rsidRPr="00E2528B">
        <w:rPr>
          <w:lang w:eastAsia="pt-BR"/>
        </w:rPr>
        <w:t>Caberá ao orçamentista realizar um ensaio sobre a questão, com vistas a estabelecer bases para estimar os custos envolvidos na administração local. Devem ser consideradas as características da obra, a estratégia adotada para sua execução, o cronograma, bem como a dispersão geográfica das frentes de trabalho.</w:t>
      </w:r>
    </w:p>
    <w:p w14:paraId="4D27DCC1" w14:textId="77777777" w:rsidR="00E2528B" w:rsidRPr="00E2528B" w:rsidRDefault="00E2528B" w:rsidP="00E2528B">
      <w:pPr>
        <w:pStyle w:val="ApTexto"/>
        <w:spacing w:before="0" w:after="360"/>
        <w:rPr>
          <w:lang w:eastAsia="pt-BR"/>
        </w:rPr>
      </w:pPr>
      <w:r w:rsidRPr="00E2528B">
        <w:rPr>
          <w:lang w:eastAsia="pt-BR"/>
        </w:rPr>
        <w:t>No mais, assim como os demais custos diretos, a Administração deverá atentar para a necessidade de definir critério objetivo para a medição e o pagamento do item “administração local”, estipulando pagamentos proporcionais à execução financeira do contrato, abstendo-se de utilizar critério de pagamento para esse item como um valor mensal fixo, evitando-se, assim, desembolsos indevidos de administração local em virtude de atrasos ou de prorrogações injustificadas do prazo de execução contratual em cumprimento ao subitem 9.3.2.2. do Acórdão n. 2.622, de 2013, do TCU.</w:t>
      </w:r>
    </w:p>
    <w:p w14:paraId="2C9C7A66" w14:textId="02AE5BC7" w:rsidR="007822F6" w:rsidRPr="0039509F" w:rsidRDefault="001E704A" w:rsidP="0039509F">
      <w:pPr>
        <w:pStyle w:val="ApTexto"/>
        <w:spacing w:before="0" w:after="360"/>
        <w:rPr>
          <w:lang w:eastAsia="pt-BR"/>
        </w:rPr>
      </w:pPr>
      <w:hyperlink w:anchor="nt_7_retorno" w:history="1">
        <w:r w:rsidR="00A93963" w:rsidRPr="00A93963">
          <w:rPr>
            <w:rStyle w:val="Hyperlink"/>
          </w:rPr>
          <w:t>Voltar ao preenchimento</w:t>
        </w:r>
      </w:hyperlink>
    </w:p>
    <w:p w14:paraId="13B2A7E5" w14:textId="1036599F" w:rsidR="0090645F" w:rsidRPr="007C759E" w:rsidRDefault="007822F6"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99" w:name="_Ref136507377"/>
      <w:bookmarkStart w:id="100" w:name="_Toc142556223"/>
      <w:bookmarkStart w:id="101" w:name="nt_8"/>
      <w:r w:rsidRPr="007C759E">
        <w:rPr>
          <w:rFonts w:asciiTheme="majorHAnsi" w:hAnsiTheme="majorHAnsi" w:cstheme="majorHAnsi"/>
          <w:color w:val="auto"/>
          <w:szCs w:val="24"/>
        </w:rPr>
        <w:t>ELABORAÇÃO DAS CURVAS ABC DOS SERVIÇOS E INSUMOS</w:t>
      </w:r>
      <w:bookmarkEnd w:id="99"/>
      <w:bookmarkEnd w:id="100"/>
    </w:p>
    <w:bookmarkEnd w:id="101"/>
    <w:p w14:paraId="6A38123E" w14:textId="5DE9A470" w:rsidR="00DD1EB9" w:rsidRPr="0039509F" w:rsidRDefault="00DD1EB9" w:rsidP="0039509F">
      <w:pPr>
        <w:pStyle w:val="ApTexto"/>
        <w:spacing w:before="0" w:after="360"/>
        <w:rPr>
          <w:lang w:eastAsia="pt-BR"/>
        </w:rPr>
      </w:pPr>
      <w:r w:rsidRPr="0039509F">
        <w:rPr>
          <w:lang w:eastAsia="pt-BR"/>
        </w:rPr>
        <w:t>A partir das planilhas orçamentárias, cabe também elaborar a Curva ABC, assim definida no manual de Orientações para Elaboração de Planilhas Orçamentárias de Obras Públicas do TCU:</w:t>
      </w:r>
    </w:p>
    <w:p w14:paraId="0420B483" w14:textId="3CF0AEAF" w:rsidR="00DD1EB9" w:rsidRPr="00640FA4" w:rsidRDefault="00DD1EB9" w:rsidP="00640FA4">
      <w:pPr>
        <w:pStyle w:val="ApCitao"/>
        <w:spacing w:before="0" w:after="360"/>
        <w:ind w:left="2552" w:firstLine="0"/>
        <w:rPr>
          <w:sz w:val="22"/>
          <w:szCs w:val="22"/>
        </w:rPr>
      </w:pPr>
      <w:r w:rsidRPr="00640FA4">
        <w:rPr>
          <w:sz w:val="22"/>
          <w:szCs w:val="22"/>
        </w:rPr>
        <w:t>2.19 Curva ou Classificação ABC de Serviços: tabela obtida a partir da planilha orçamentária da obra, na qual os itens do orçamento são agrupados e, posteriormente, ordenados por sua importância relativa de preço total, em ordem decrescente, determinando-se o peso percentual do valor de cada um em relação ao valor total do orçamento, calculando-se em seguida os valores percentuais acumulados desses pesos. (...)</w:t>
      </w:r>
    </w:p>
    <w:p w14:paraId="75B9ACD9" w14:textId="77777777" w:rsidR="00DD1EB9" w:rsidRPr="00640FA4" w:rsidRDefault="00DD1EB9" w:rsidP="00640FA4">
      <w:pPr>
        <w:pStyle w:val="ApCitao"/>
        <w:spacing w:before="0" w:after="360"/>
        <w:ind w:left="2552" w:firstLine="0"/>
        <w:rPr>
          <w:sz w:val="22"/>
          <w:szCs w:val="22"/>
        </w:rPr>
      </w:pPr>
      <w:r w:rsidRPr="00640FA4">
        <w:rPr>
          <w:sz w:val="22"/>
          <w:szCs w:val="22"/>
        </w:rPr>
        <w:t>A importância da curva ABC reside na análise das planilhas orçamentárias. É relativamente frequente a existência de orçamentos com grande quantidade de itens de serviço distintos. Em tais circunstâncias, a curva ABC de serviços permite a avaliação global do orçamento com o exame de apenas uma parte dos serviços. (...)</w:t>
      </w:r>
    </w:p>
    <w:p w14:paraId="6F2907ED" w14:textId="77777777" w:rsidR="00DD1EB9" w:rsidRPr="00640FA4" w:rsidRDefault="00DD1EB9" w:rsidP="00640FA4">
      <w:pPr>
        <w:pStyle w:val="ApCitao"/>
        <w:spacing w:before="0" w:after="360"/>
        <w:ind w:left="2552" w:firstLine="0"/>
        <w:rPr>
          <w:sz w:val="22"/>
          <w:szCs w:val="22"/>
        </w:rPr>
      </w:pPr>
      <w:r w:rsidRPr="00640FA4">
        <w:rPr>
          <w:sz w:val="22"/>
          <w:szCs w:val="22"/>
        </w:rPr>
        <w:lastRenderedPageBreak/>
        <w:t>2.20 Curva ABC de insumos: apresenta todos os insumos da obra (material, mão de obra e equipamentos) classificados em ordem decrescente de relevância. Para sua confecção, necessita-se da composição de custos unitários de todos os serviços da obra para o agrupamento dos insumos similares de cada serviço.</w:t>
      </w:r>
    </w:p>
    <w:p w14:paraId="1421FC1F" w14:textId="226F4396" w:rsidR="00DD1EB9" w:rsidRPr="0039509F" w:rsidRDefault="00DD1EB9" w:rsidP="0039509F">
      <w:pPr>
        <w:pStyle w:val="ApTexto"/>
        <w:spacing w:before="0" w:after="360"/>
        <w:rPr>
          <w:lang w:eastAsia="pt-BR"/>
        </w:rPr>
      </w:pPr>
      <w:r w:rsidRPr="0039509F">
        <w:rPr>
          <w:lang w:eastAsia="pt-BR"/>
        </w:rPr>
        <w:t>A curva ABC de insumos é uma ferramenta que cria várias facilidades para a orçamentação de uma obra, proporcionando que o orçamentista refine o orçamento mediante pesquisa de mercado dos insumos mais significativos. Também auxilia no planejamento e programação de obras, pois fornece o efetivo de mão de obra e a quantidade dos diversos tipos de equipamentos necessários para a execução da obra.</w:t>
      </w:r>
    </w:p>
    <w:p w14:paraId="76D1EFD3" w14:textId="312C8BD8" w:rsidR="00DD1EB9" w:rsidRPr="0039509F" w:rsidRDefault="58992F2F" w:rsidP="0039509F">
      <w:pPr>
        <w:pStyle w:val="ApTexto"/>
        <w:spacing w:before="0" w:after="360"/>
        <w:rPr>
          <w:lang w:eastAsia="pt-BR"/>
        </w:rPr>
      </w:pPr>
      <w:r w:rsidRPr="0039509F">
        <w:rPr>
          <w:lang w:eastAsia="pt-BR"/>
        </w:rPr>
        <w:t>No caso, uma das funções principais da Curva ABC é definir as parcelas mais relevantes da contratação sob o prisma econômico, a fim de permitir a indicação dos serviços cuja execução prévia deverá ser comprovada nos atestados de capacidade técnica apresentados pelo licitante (requisito de qualificação técnica).</w:t>
      </w:r>
      <w:r w:rsidR="4B8CA057" w:rsidRPr="0039509F">
        <w:rPr>
          <w:lang w:eastAsia="pt-BR"/>
        </w:rPr>
        <w:t xml:space="preserve"> Além disso, permite apontar os insumos que podem ser objeto da incidência de BDI Diferenciado</w:t>
      </w:r>
      <w:r w:rsidR="5AA3E69A" w:rsidRPr="0039509F">
        <w:rPr>
          <w:lang w:eastAsia="pt-BR"/>
        </w:rPr>
        <w:t>.</w:t>
      </w:r>
    </w:p>
    <w:p w14:paraId="6EEA6530" w14:textId="5AC4AC67" w:rsidR="00DD1EB9" w:rsidRPr="0039509F" w:rsidRDefault="00DD1EB9" w:rsidP="0039509F">
      <w:pPr>
        <w:pStyle w:val="ApTexto"/>
        <w:spacing w:before="0" w:after="360"/>
        <w:rPr>
          <w:lang w:eastAsia="pt-BR"/>
        </w:rPr>
      </w:pPr>
      <w:r w:rsidRPr="0039509F">
        <w:rPr>
          <w:lang w:eastAsia="pt-BR"/>
        </w:rPr>
        <w:t>Ademais, a Curva ABC também é importante instrumento para a análise de riscos da contratação e a previsão de mecanismos de gestão e fiscalização contratual, além de guiar a análise crítica dos pleitos de modificação das planilhas orçamentárias por meio de aditivos, para verificar o ponto de equilíbrio econômico-financeiro do contrato e a potencial ocorrência de “jogo de planilha” ou sobrepreços relevantes.</w:t>
      </w:r>
    </w:p>
    <w:p w14:paraId="3138E63D" w14:textId="73B9B9B7" w:rsidR="00DD1EB9" w:rsidRPr="0039509F" w:rsidRDefault="00DD1EB9" w:rsidP="0039509F">
      <w:pPr>
        <w:pStyle w:val="ApTexto"/>
        <w:spacing w:before="0" w:after="360"/>
        <w:rPr>
          <w:lang w:eastAsia="pt-BR"/>
        </w:rPr>
      </w:pPr>
      <w:r w:rsidRPr="0039509F">
        <w:rPr>
          <w:lang w:eastAsia="pt-BR"/>
        </w:rPr>
        <w:t>Por fim, o próprio TCU costuma utilizar a Curva ABC em suas auditorias para averiguar tais irregularidades nos processos de tomada de contas de obras e serviços de engenharia – cabendo ao órgão diligente se antecipar e preparar sua própria versão do documento, a fim de antever eventuais fragilidades em suas planilhas orçamentárias.</w:t>
      </w:r>
    </w:p>
    <w:p w14:paraId="6EE5791D" w14:textId="75EFFA3D" w:rsidR="00DD1EB9" w:rsidRDefault="00DD1EB9" w:rsidP="0039509F">
      <w:pPr>
        <w:pStyle w:val="ApTexto"/>
        <w:spacing w:before="0" w:after="360"/>
        <w:rPr>
          <w:b/>
          <w:lang w:eastAsia="pt-BR"/>
        </w:rPr>
      </w:pPr>
      <w:r w:rsidRPr="0039509F">
        <w:rPr>
          <w:b/>
          <w:lang w:eastAsia="pt-BR"/>
        </w:rPr>
        <w:t>Do ponto de vista prático, a relevância desse documento pode ser assim resumida: Indicar os itens em relação aos quais se deve exigir atestados; indicar o percentual que será solicitado nos atestados (até 50% - TCU); e, indicar a importância de BDI diferenciado para equipamentos.</w:t>
      </w:r>
    </w:p>
    <w:p w14:paraId="4FB2B172" w14:textId="3F4F7CF5" w:rsidR="00640FA4" w:rsidRPr="0039509F" w:rsidRDefault="001E704A" w:rsidP="0039509F">
      <w:pPr>
        <w:pStyle w:val="ApTexto"/>
        <w:spacing w:before="0" w:after="360"/>
        <w:rPr>
          <w:b/>
          <w:lang w:eastAsia="pt-BR"/>
        </w:rPr>
      </w:pPr>
      <w:hyperlink w:anchor="nt_8_retorno" w:history="1">
        <w:r w:rsidR="00A93963" w:rsidRPr="00A93963">
          <w:rPr>
            <w:rStyle w:val="Hyperlink"/>
          </w:rPr>
          <w:t>Voltar ao preenchimento</w:t>
        </w:r>
      </w:hyperlink>
    </w:p>
    <w:p w14:paraId="5B4B4D5D" w14:textId="6CE45FA6" w:rsidR="00001F07" w:rsidRPr="007C759E" w:rsidRDefault="00640FA4"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102" w:name="_Ref136507392"/>
      <w:bookmarkStart w:id="103" w:name="_Toc142556224"/>
      <w:bookmarkStart w:id="104" w:name="nt_9"/>
      <w:r w:rsidRPr="007C759E">
        <w:rPr>
          <w:rFonts w:asciiTheme="majorHAnsi" w:hAnsiTheme="majorHAnsi" w:cstheme="majorHAnsi"/>
          <w:color w:val="auto"/>
          <w:szCs w:val="24"/>
        </w:rPr>
        <w:t>ADOÇÃO DO REGIME DE DESONERAÇÃO TRIBUTÁRIA</w:t>
      </w:r>
      <w:bookmarkEnd w:id="102"/>
      <w:bookmarkEnd w:id="103"/>
    </w:p>
    <w:bookmarkEnd w:id="104"/>
    <w:p w14:paraId="669FCF61" w14:textId="46D27EFB" w:rsidR="006F1607" w:rsidRPr="0039509F" w:rsidRDefault="006F1607" w:rsidP="0039509F">
      <w:pPr>
        <w:pStyle w:val="ApTexto"/>
        <w:spacing w:before="0" w:after="360"/>
      </w:pPr>
      <w:r w:rsidRPr="00867EB0">
        <w:t xml:space="preserve">O </w:t>
      </w:r>
      <w:r w:rsidR="00C73666" w:rsidRPr="00867EB0">
        <w:t>órgão</w:t>
      </w:r>
      <w:r w:rsidRPr="0039509F">
        <w:t xml:space="preserve"> promotor da licitação deve atentar para o regime de tributação que está sendo considerado no orçamento de referência da Administração, mormente se está ou não considerando no BDI adotado no certame os efeitos da Contribuição Previdenciária sobre a Renda Bruta (CPRB), ou seja, da desoneração tributária, evidentemente, enquanto ela estiver vigente e aplicável às empresas do setor de engenharia.</w:t>
      </w:r>
    </w:p>
    <w:p w14:paraId="5984A1E5" w14:textId="34929FF8" w:rsidR="00DD1EB9" w:rsidRPr="0039509F" w:rsidRDefault="00DD1EB9" w:rsidP="0039509F">
      <w:pPr>
        <w:pStyle w:val="ApTexto"/>
        <w:spacing w:before="0" w:after="360"/>
      </w:pPr>
      <w:r w:rsidRPr="0039509F">
        <w:lastRenderedPageBreak/>
        <w:t xml:space="preserve">Atualmente, </w:t>
      </w:r>
      <w:r w:rsidR="00393940" w:rsidRPr="0039509F">
        <w:t>o</w:t>
      </w:r>
      <w:r w:rsidRPr="0039509F">
        <w:t xml:space="preserve"> regime de desoneração tributária é facultativo para as empresas de construção civil – e é por isso que o </w:t>
      </w:r>
      <w:r w:rsidRPr="0039509F">
        <w:rPr>
          <w:rStyle w:val="scayt-misspell-word"/>
        </w:rPr>
        <w:t>SINAPI</w:t>
      </w:r>
      <w:r w:rsidRPr="0039509F">
        <w:t xml:space="preserve"> e demais tabelas de referência de preços divulgam duas versões concomitantes: encargos sociais "desonerados" e "não desonerados".</w:t>
      </w:r>
    </w:p>
    <w:p w14:paraId="5043BEBC" w14:textId="3BF2EBF2" w:rsidR="00DD1EB9" w:rsidRPr="0039509F" w:rsidRDefault="00DD1EB9" w:rsidP="0039509F">
      <w:pPr>
        <w:pStyle w:val="ApTexto"/>
        <w:spacing w:before="0" w:after="360"/>
      </w:pPr>
      <w:r w:rsidRPr="0039509F">
        <w:t>Porém, conforme divulgado no Informativo de Licitações e Contratos n</w:t>
      </w:r>
      <w:r w:rsidR="00085498" w:rsidRPr="0039509F">
        <w:t>.</w:t>
      </w:r>
      <w:r w:rsidRPr="0039509F">
        <w:t xml:space="preserve"> 257 do TCU, </w:t>
      </w:r>
      <w:r w:rsidR="00C9741E" w:rsidRPr="0039509F">
        <w:t>est</w:t>
      </w:r>
      <w:r w:rsidRPr="0039509F">
        <w:t>a Corte entendeu que o tratamento tributário diferenciado previsto na Lei n</w:t>
      </w:r>
      <w:r w:rsidR="00085498" w:rsidRPr="0039509F">
        <w:t>.</w:t>
      </w:r>
      <w:r w:rsidRPr="0039509F">
        <w:t xml:space="preserve"> 12.546</w:t>
      </w:r>
      <w:r w:rsidR="00085498" w:rsidRPr="0039509F">
        <w:t xml:space="preserve">, de </w:t>
      </w:r>
      <w:r w:rsidRPr="0039509F">
        <w:t>2011</w:t>
      </w:r>
      <w:r w:rsidR="00085498" w:rsidRPr="0039509F">
        <w:t>,</w:t>
      </w:r>
      <w:r w:rsidRPr="0039509F">
        <w:t xml:space="preserve"> não ampara a adoção de dois orçamentos estimativos como critério de aceitabilidade de preços máximos na licitação, a depender de a licitante recolher a contribuição previdenciária sobre o valor da receita bruta ou sobre o valor da folha de pagamento (Acórdão n</w:t>
      </w:r>
      <w:r w:rsidR="00866716">
        <w:t>.</w:t>
      </w:r>
      <w:r w:rsidRPr="0039509F">
        <w:t xml:space="preserve"> 6.013/2015 - 2ª Câmara).</w:t>
      </w:r>
    </w:p>
    <w:p w14:paraId="5950B806" w14:textId="1BD4D803" w:rsidR="00DD1EB9" w:rsidRPr="0039509F" w:rsidRDefault="00DD1EB9" w:rsidP="0039509F">
      <w:pPr>
        <w:pStyle w:val="ApTexto"/>
        <w:spacing w:before="0" w:after="360"/>
      </w:pPr>
      <w:r w:rsidRPr="00023811">
        <w:rPr>
          <w:bCs/>
        </w:rPr>
        <w:t>Portanto, ao elaborar o orçamento de referência de cada licitação, cabe ao setor técnico</w:t>
      </w:r>
      <w:r w:rsidRPr="0039509F">
        <w:rPr>
          <w:b/>
        </w:rPr>
        <w:t xml:space="preserve"> justificar a opção por uma ou outra tabela do </w:t>
      </w:r>
      <w:r w:rsidRPr="0039509F">
        <w:rPr>
          <w:rStyle w:val="scayt-misspell-word"/>
          <w:b/>
        </w:rPr>
        <w:t>SINAPI</w:t>
      </w:r>
      <w:r w:rsidRPr="0039509F">
        <w:rPr>
          <w:b/>
        </w:rPr>
        <w:t>, conforme o cenário que se revelar mais vantajoso para a Administração -</w:t>
      </w:r>
      <w:r w:rsidRPr="0039509F">
        <w:t xml:space="preserve"> segundo as premissas do PARECER n</w:t>
      </w:r>
      <w:r w:rsidR="00866716">
        <w:t xml:space="preserve">. </w:t>
      </w:r>
      <w:r w:rsidRPr="0039509F">
        <w:t>44/2019/</w:t>
      </w:r>
      <w:r w:rsidRPr="0039509F">
        <w:rPr>
          <w:rStyle w:val="scayt-misspell-word"/>
        </w:rPr>
        <w:t>DECOR</w:t>
      </w:r>
      <w:r w:rsidRPr="0039509F">
        <w:t>/CGU/AGU:</w:t>
      </w:r>
    </w:p>
    <w:p w14:paraId="08B0B133" w14:textId="56E64B1A" w:rsidR="00DD1EB9" w:rsidRPr="0039509F" w:rsidRDefault="00DD1EB9" w:rsidP="0039509F">
      <w:pPr>
        <w:pStyle w:val="ApTexto"/>
        <w:spacing w:before="0" w:after="360"/>
      </w:pPr>
      <w:r w:rsidRPr="0039509F">
        <w:t>b) Na fase preparatória da licitação, ao fazer uma estimativa do valor do futuro contrato, a Administração deverá confeccionar um único orçamento de referência, no qual considerará o regime tributário que lhe for mais vantajoso, embora os licitantes possam elaborar suas planilhas de custos e formação de preços com observância do regime tributário a que se sujeitam.</w:t>
      </w:r>
    </w:p>
    <w:p w14:paraId="7D8A9E08" w14:textId="22358281" w:rsidR="00DD1EB9" w:rsidRPr="0039509F" w:rsidRDefault="00DD1EB9" w:rsidP="0039509F">
      <w:pPr>
        <w:pStyle w:val="ApTexto"/>
        <w:spacing w:before="0" w:after="360"/>
      </w:pPr>
      <w:r w:rsidRPr="0039509F">
        <w:t>c) Caso o licitante adote em sua proposta os critérios constantes do orçamento de referência (se estes não lhe foram aplicáveis), não pode, em hipótese de adjudicação e ulterior contratação, pleitear reequilíbrio econômico do contrato com base nesta discrepância.</w:t>
      </w:r>
    </w:p>
    <w:p w14:paraId="49DD9510" w14:textId="136B03F3" w:rsidR="00DD1EB9" w:rsidRPr="0039509F" w:rsidRDefault="00DD1EB9" w:rsidP="0039509F">
      <w:pPr>
        <w:pStyle w:val="ApTexto"/>
        <w:spacing w:before="0" w:after="360"/>
      </w:pPr>
      <w:r w:rsidRPr="0039509F">
        <w:t xml:space="preserve">d) Durante a análise das propostas, a comissão de licitação ou o pregoeiro deverão analisar a adequação do </w:t>
      </w:r>
      <w:proofErr w:type="spellStart"/>
      <w:r w:rsidRPr="0039509F">
        <w:t>planilhamento</w:t>
      </w:r>
      <w:proofErr w:type="spellEnd"/>
      <w:r w:rsidRPr="0039509F">
        <w:t xml:space="preserve"> feito pelo licitante com eventual opção ou não pela desoneração previdenciária, tendo em vista que tal diligência é essencial para a verificação da exequibilidade da planilha de formação de preços, bem como para afastar eventuais riscos de inexecução contratual.</w:t>
      </w:r>
    </w:p>
    <w:p w14:paraId="54AC5FE7" w14:textId="363FB87F" w:rsidR="00DD1EB9" w:rsidRPr="0039509F" w:rsidRDefault="00DD1EB9" w:rsidP="0039509F">
      <w:pPr>
        <w:pStyle w:val="ApTexto"/>
        <w:spacing w:before="0" w:after="360"/>
        <w:rPr>
          <w:lang w:eastAsia="pt-BR"/>
        </w:rPr>
      </w:pPr>
      <w:r w:rsidRPr="0039509F">
        <w:rPr>
          <w:lang w:eastAsia="pt-BR"/>
        </w:rPr>
        <w:t>Cabe ao setor técnico</w:t>
      </w:r>
      <w:r w:rsidR="008B1F76" w:rsidRPr="0039509F">
        <w:rPr>
          <w:lang w:eastAsia="pt-BR"/>
        </w:rPr>
        <w:t xml:space="preserve"> </w:t>
      </w:r>
      <w:r w:rsidR="008B1F76" w:rsidRPr="0039509F">
        <w:rPr>
          <w:b/>
          <w:lang w:eastAsia="pt-BR"/>
        </w:rPr>
        <w:t xml:space="preserve">anexar nos autos a </w:t>
      </w:r>
      <w:r w:rsidRPr="0039509F">
        <w:rPr>
          <w:b/>
          <w:lang w:eastAsia="pt-BR"/>
        </w:rPr>
        <w:t>simula</w:t>
      </w:r>
      <w:r w:rsidR="008B1F76" w:rsidRPr="0039509F">
        <w:rPr>
          <w:b/>
          <w:lang w:eastAsia="pt-BR"/>
        </w:rPr>
        <w:t>ção</w:t>
      </w:r>
      <w:r w:rsidRPr="0039509F">
        <w:rPr>
          <w:b/>
          <w:lang w:eastAsia="pt-BR"/>
        </w:rPr>
        <w:t xml:space="preserve"> </w:t>
      </w:r>
      <w:r w:rsidR="008B1F76" w:rsidRPr="0039509F">
        <w:rPr>
          <w:b/>
          <w:lang w:eastAsia="pt-BR"/>
        </w:rPr>
        <w:t>d</w:t>
      </w:r>
      <w:r w:rsidRPr="0039509F">
        <w:rPr>
          <w:b/>
          <w:lang w:eastAsia="pt-BR"/>
        </w:rPr>
        <w:t>os preços globais da obra ou serviço</w:t>
      </w:r>
      <w:r w:rsidR="008B1F76" w:rsidRPr="0039509F">
        <w:rPr>
          <w:b/>
          <w:lang w:eastAsia="pt-BR"/>
        </w:rPr>
        <w:t>,</w:t>
      </w:r>
      <w:r w:rsidRPr="0039509F">
        <w:rPr>
          <w:b/>
          <w:lang w:eastAsia="pt-BR"/>
        </w:rPr>
        <w:t xml:space="preserve"> com base nos dois cenários</w:t>
      </w:r>
      <w:r w:rsidRPr="0039509F">
        <w:rPr>
          <w:lang w:eastAsia="pt-BR"/>
        </w:rPr>
        <w:t xml:space="preserve"> – custos “desonerados” (acrescido o percentual da CPRB no BDI) </w:t>
      </w:r>
      <w:r w:rsidRPr="0039509F">
        <w:rPr>
          <w:i/>
          <w:iCs/>
          <w:lang w:eastAsia="pt-BR"/>
        </w:rPr>
        <w:t>versus</w:t>
      </w:r>
      <w:r w:rsidRPr="0039509F">
        <w:rPr>
          <w:lang w:eastAsia="pt-BR"/>
        </w:rPr>
        <w:t xml:space="preserve"> custos “não desonerados” (excluído o percentual da CPRB no BDI) – para </w:t>
      </w:r>
      <w:r w:rsidR="00A00C9E" w:rsidRPr="0039509F">
        <w:rPr>
          <w:lang w:eastAsia="pt-BR"/>
        </w:rPr>
        <w:t xml:space="preserve">justificar </w:t>
      </w:r>
      <w:r w:rsidRPr="0039509F">
        <w:rPr>
          <w:lang w:eastAsia="pt-BR"/>
        </w:rPr>
        <w:t>a opção mais vantajosa para a Administração, a qual será adotada como orçamento de referência da licitação.</w:t>
      </w:r>
    </w:p>
    <w:p w14:paraId="6FB55815" w14:textId="15D4F91C" w:rsidR="00023811" w:rsidRDefault="0006348A" w:rsidP="00773404">
      <w:pPr>
        <w:pStyle w:val="ApTexto"/>
        <w:spacing w:before="0" w:after="360"/>
        <w:rPr>
          <w:lang w:eastAsia="pt-BR"/>
        </w:rPr>
      </w:pPr>
      <w:r w:rsidRPr="0039509F">
        <w:rPr>
          <w:lang w:eastAsia="pt-BR"/>
        </w:rPr>
        <w:t>N</w:t>
      </w:r>
      <w:r w:rsidR="006D1C83" w:rsidRPr="0039509F">
        <w:rPr>
          <w:lang w:eastAsia="pt-BR"/>
        </w:rPr>
        <w:t>ecessariamente</w:t>
      </w:r>
      <w:r w:rsidRPr="0039509F">
        <w:rPr>
          <w:lang w:eastAsia="pt-BR"/>
        </w:rPr>
        <w:t xml:space="preserve"> </w:t>
      </w:r>
      <w:r w:rsidR="006D1C83" w:rsidRPr="0039509F">
        <w:rPr>
          <w:lang w:eastAsia="pt-BR"/>
        </w:rPr>
        <w:t xml:space="preserve">o projeto </w:t>
      </w:r>
      <w:r w:rsidR="006D1C83" w:rsidRPr="0039509F">
        <w:rPr>
          <w:b/>
          <w:lang w:eastAsia="pt-BR"/>
        </w:rPr>
        <w:t>deverá</w:t>
      </w:r>
      <w:r w:rsidR="006D1C83" w:rsidRPr="0039509F">
        <w:rPr>
          <w:lang w:eastAsia="pt-BR"/>
        </w:rPr>
        <w:t xml:space="preserve"> declarar se a atividade a ser contratada se encontra entre os itens da Classificação Nacional de Atividades Econômicas - CNAE para fins de utilização das tabelas desoneradas.</w:t>
      </w:r>
    </w:p>
    <w:p w14:paraId="26655687" w14:textId="4DC99B57" w:rsidR="00773404" w:rsidRPr="0039509F" w:rsidRDefault="001E704A" w:rsidP="00773404">
      <w:pPr>
        <w:pStyle w:val="ApTexto"/>
        <w:spacing w:before="0" w:after="360"/>
        <w:rPr>
          <w:lang w:eastAsia="pt-BR"/>
        </w:rPr>
      </w:pPr>
      <w:hyperlink w:anchor="nt_9_retorno" w:history="1">
        <w:r w:rsidR="00A93963" w:rsidRPr="00A93963">
          <w:rPr>
            <w:rStyle w:val="Hyperlink"/>
          </w:rPr>
          <w:t>Voltar ao preenchimento</w:t>
        </w:r>
      </w:hyperlink>
    </w:p>
    <w:p w14:paraId="286BBA3F" w14:textId="5288DD8D" w:rsidR="00001F07" w:rsidRPr="0039509F" w:rsidRDefault="00023811"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szCs w:val="24"/>
          <w:lang w:eastAsia="pt-BR"/>
        </w:rPr>
      </w:pPr>
      <w:bookmarkStart w:id="105" w:name="_Ref136507213"/>
      <w:bookmarkStart w:id="106" w:name="_Toc142556225"/>
      <w:bookmarkStart w:id="107" w:name="nt_10"/>
      <w:r w:rsidRPr="0039509F">
        <w:rPr>
          <w:rFonts w:asciiTheme="majorHAnsi" w:hAnsiTheme="majorHAnsi" w:cstheme="majorHAnsi"/>
          <w:szCs w:val="24"/>
          <w:lang w:eastAsia="pt-BR"/>
        </w:rPr>
        <w:lastRenderedPageBreak/>
        <w:t>DETALHAMENTO DA COMPOSIÇÃO DO PERCENTUAL DE BDI.</w:t>
      </w:r>
      <w:bookmarkEnd w:id="105"/>
      <w:bookmarkEnd w:id="106"/>
    </w:p>
    <w:bookmarkEnd w:id="107"/>
    <w:p w14:paraId="53B49FC8" w14:textId="77777777" w:rsidR="00C81941" w:rsidRPr="00C81941" w:rsidRDefault="00C81941" w:rsidP="00C81941">
      <w:pPr>
        <w:pStyle w:val="ApTexto"/>
        <w:spacing w:before="0" w:after="360"/>
        <w:rPr>
          <w:lang w:eastAsia="pt-BR"/>
        </w:rPr>
      </w:pPr>
      <w:r w:rsidRPr="00C81941">
        <w:rPr>
          <w:lang w:eastAsia="pt-BR"/>
        </w:rPr>
        <w:t xml:space="preserve">Nos termos do art. 23, §2º, da Lei n. 14.133, de 2021, ao valor estimado do objeto deverão ser acrescidos o percentual de Benefícios e Despesas Indiretas (BDI) de referência e os Encargos Sociais (ES) cabíveis. </w:t>
      </w:r>
    </w:p>
    <w:p w14:paraId="53628B74" w14:textId="77777777" w:rsidR="00C81941" w:rsidRPr="0039509F" w:rsidRDefault="00C81941" w:rsidP="00C81941">
      <w:pPr>
        <w:pStyle w:val="ApTexto"/>
        <w:spacing w:before="0" w:after="360"/>
        <w:rPr>
          <w:lang w:eastAsia="pt-BR"/>
        </w:rPr>
      </w:pPr>
      <w:r w:rsidRPr="00C81941">
        <w:rPr>
          <w:lang w:eastAsia="pt-BR"/>
        </w:rPr>
        <w:t>Na falta de um critério legal para a definição do BDI, recomenda-se a utilização dos parâmetros estabelecidos pelo Tribunal de Contas da União, que, no Acórdão TCU n. 2.622/2013 discrimina os itens mínimos componentes do BDI: taxa de rateio da administração central, riscos, seguros, garantias, despesas financeiras, remuneração da empresa contratada e tributos incidentes sobre o faturamento.</w:t>
      </w:r>
    </w:p>
    <w:p w14:paraId="068CCC24" w14:textId="77777777" w:rsidR="00C81941" w:rsidRPr="0039509F" w:rsidRDefault="00C81941" w:rsidP="00C81941">
      <w:pPr>
        <w:pStyle w:val="ApTexto"/>
        <w:spacing w:before="0" w:after="360"/>
        <w:rPr>
          <w:lang w:eastAsia="pt-BR"/>
        </w:rPr>
      </w:pPr>
      <w:r w:rsidRPr="00C81941">
        <w:rPr>
          <w:lang w:eastAsia="pt-BR"/>
        </w:rPr>
        <w:t>Depreende-se, ainda, do referido acórdão, os seguintes parâmetros:</w:t>
      </w:r>
    </w:p>
    <w:p w14:paraId="3B242BC7" w14:textId="45C290C2" w:rsidR="00871589" w:rsidRPr="0039509F" w:rsidRDefault="00871589" w:rsidP="0039509F">
      <w:pPr>
        <w:pStyle w:val="ApLista"/>
        <w:spacing w:before="0" w:after="360"/>
      </w:pPr>
      <w:r w:rsidRPr="0039509F">
        <w:t>N</w:t>
      </w:r>
      <w:r w:rsidR="00DD1EB9" w:rsidRPr="0039509F">
        <w:t>ão</w:t>
      </w:r>
      <w:r w:rsidRPr="0039509F">
        <w:t xml:space="preserve"> </w:t>
      </w:r>
      <w:r w:rsidR="00DD1EB9" w:rsidRPr="0039509F">
        <w:t>poderão integrar o cálculo do BDI os tributos que não incidam diretamente sobre a prestação em si, como o IRPJ, CSLL e ICMS, independente do critério da fixação da base de cálculo, como ocorre com as empresas que calculam o imposto de renda com base no lucro presumido</w:t>
      </w:r>
      <w:r w:rsidRPr="0039509F">
        <w:t>;</w:t>
      </w:r>
    </w:p>
    <w:p w14:paraId="4D099F7C" w14:textId="77777777" w:rsidR="00871589" w:rsidRPr="0039509F" w:rsidRDefault="00DD1EB9" w:rsidP="0039509F">
      <w:pPr>
        <w:pStyle w:val="ApLista"/>
        <w:spacing w:before="0" w:after="360"/>
      </w:pPr>
      <w:r w:rsidRPr="0039509F">
        <w:t>PIS, COFINS e ISSQN – na medida em que incidem sobre o faturamento – são passíveis de serem incluídas no cálculo do BDI, nos t</w:t>
      </w:r>
      <w:r w:rsidR="00871589" w:rsidRPr="0039509F">
        <w:t>ermos da Súmula TCU n. 254/2010;</w:t>
      </w:r>
    </w:p>
    <w:p w14:paraId="53B78E40" w14:textId="77777777" w:rsidR="00411767" w:rsidRPr="0039509F" w:rsidRDefault="00DD1EB9" w:rsidP="0039509F">
      <w:pPr>
        <w:pStyle w:val="ApLista"/>
        <w:spacing w:before="0" w:after="360"/>
      </w:pPr>
      <w:r w:rsidRPr="0039509F">
        <w:t>A taxa de rateio da administração central não poderá ser fixada por meio de remuneração mensal fixa, mas através de pagamentos proporcionais à execução financeira da obra de modo que a entrega do objeto coincida com 100% (cem por cento) do seu valor previsto (TCU, Ac</w:t>
      </w:r>
      <w:r w:rsidR="00AF37BA" w:rsidRPr="0039509F">
        <w:t>.</w:t>
      </w:r>
      <w:r w:rsidRPr="0039509F">
        <w:t xml:space="preserve"> 2622/2013-Plenário, Item 122 do voto e Item 9.3.2.2 do acórdão - No mesmo sentido: TCU, Ac</w:t>
      </w:r>
      <w:r w:rsidR="00AF37BA" w:rsidRPr="0039509F">
        <w:t>.</w:t>
      </w:r>
      <w:r w:rsidRPr="0039509F">
        <w:t xml:space="preserve"> 3013/</w:t>
      </w:r>
      <w:r w:rsidR="00411767" w:rsidRPr="0039509F">
        <w:t>2010-Plenário, voto do relator);</w:t>
      </w:r>
    </w:p>
    <w:p w14:paraId="4F5A4643" w14:textId="7FE452CC" w:rsidR="0001400B" w:rsidRPr="0039509F" w:rsidRDefault="00476052" w:rsidP="0039509F">
      <w:pPr>
        <w:pStyle w:val="ApLista"/>
        <w:spacing w:before="0" w:after="360"/>
      </w:pPr>
      <w:r w:rsidRPr="0039509F">
        <w:t>Ad</w:t>
      </w:r>
      <w:r w:rsidR="00DD1EB9" w:rsidRPr="0039509F">
        <w:t>o</w:t>
      </w:r>
      <w:r w:rsidRPr="0039509F">
        <w:t>ção dos</w:t>
      </w:r>
      <w:r w:rsidR="00DD1EB9" w:rsidRPr="0039509F">
        <w:t xml:space="preserve"> novos referenciais de percentual de BDI, em substituição aos índices mencionados no A</w:t>
      </w:r>
      <w:r w:rsidRPr="0039509F">
        <w:t>córdão n. 2.369/2011</w:t>
      </w:r>
      <w:r w:rsidR="007403BE" w:rsidRPr="0039509F">
        <w:t xml:space="preserve"> e u</w:t>
      </w:r>
      <w:r w:rsidR="00DD1EB9" w:rsidRPr="0039509F">
        <w:t>tiliza</w:t>
      </w:r>
      <w:r w:rsidRPr="0039509F">
        <w:t>ção d</w:t>
      </w:r>
      <w:r w:rsidR="00DD1EB9" w:rsidRPr="0039509F">
        <w:t xml:space="preserve">a terminologia “quartil”, ao invés de padrões mínimos e máximos, como constava nas tabelas substituídas do acórdão anterior. </w:t>
      </w:r>
    </w:p>
    <w:p w14:paraId="272ADD64" w14:textId="77777777" w:rsidR="007403BE" w:rsidRPr="0039509F" w:rsidRDefault="0001400B" w:rsidP="0039509F">
      <w:pPr>
        <w:pStyle w:val="ApLista"/>
        <w:spacing w:before="0" w:after="360"/>
      </w:pPr>
      <w:r w:rsidRPr="0039509F">
        <w:t xml:space="preserve">Fixação do </w:t>
      </w:r>
      <w:r w:rsidR="00DD1EB9" w:rsidRPr="0039509F">
        <w:t>entendimento de que os percentuais indicados não constituem limites intransponíveis, mas referenciais de controle.</w:t>
      </w:r>
      <w:r w:rsidR="007403BE" w:rsidRPr="0039509F">
        <w:t xml:space="preserve"> </w:t>
      </w:r>
    </w:p>
    <w:p w14:paraId="34880065" w14:textId="327C14C1" w:rsidR="00DD1EB9" w:rsidRPr="0039509F" w:rsidRDefault="000324EF" w:rsidP="0039509F">
      <w:pPr>
        <w:pStyle w:val="ApLista"/>
        <w:spacing w:before="0" w:after="360"/>
      </w:pPr>
      <w:r w:rsidRPr="0039509F">
        <w:t xml:space="preserve">Caso o orçamentista opte por adotar os custos de referência DESONERADOS, deverá acrescer o percentual de 4,5% (quatro e meio por cento) da CPRB ao BDI da obra ou serviço – ainda que extrapole os parâmetros do Acórdão n. 2.622/2013, pois </w:t>
      </w:r>
      <w:r w:rsidR="00DD1EB9" w:rsidRPr="0039509F">
        <w:rPr>
          <w:lang w:eastAsia="pt-BR"/>
        </w:rPr>
        <w:t xml:space="preserve">os parâmetros de percentuais de BDI do </w:t>
      </w:r>
      <w:r w:rsidR="00DD1EB9" w:rsidRPr="0039509F">
        <w:t>Acórdão n. 2.622/2013 não contemplam a incidência da Contribuição Previdenciária sobre a Renda Bruta (</w:t>
      </w:r>
      <w:r w:rsidR="00DD1EB9" w:rsidRPr="0039509F">
        <w:rPr>
          <w:rStyle w:val="scayt-misspell-word"/>
        </w:rPr>
        <w:t>CPRB</w:t>
      </w:r>
      <w:r w:rsidR="00DD1EB9" w:rsidRPr="0039509F">
        <w:t>) instituída pela Lei n</w:t>
      </w:r>
      <w:r w:rsidR="00A90F93" w:rsidRPr="0039509F">
        <w:t>.</w:t>
      </w:r>
      <w:r w:rsidR="00DD1EB9" w:rsidRPr="0039509F">
        <w:t xml:space="preserve"> 12.546</w:t>
      </w:r>
      <w:r w:rsidRPr="0039509F">
        <w:t xml:space="preserve">, de </w:t>
      </w:r>
      <w:r w:rsidR="00DD1EB9" w:rsidRPr="0039509F">
        <w:t xml:space="preserve">2011. </w:t>
      </w:r>
    </w:p>
    <w:p w14:paraId="5D34F845" w14:textId="0C349E9E" w:rsidR="007403BE" w:rsidRPr="0039509F" w:rsidRDefault="00043EB2" w:rsidP="0039509F">
      <w:pPr>
        <w:pStyle w:val="ApLista"/>
        <w:spacing w:before="0" w:after="360"/>
      </w:pPr>
      <w:r w:rsidRPr="0039509F">
        <w:lastRenderedPageBreak/>
        <w:t>Adoção de percentual de ISS compatível com a legislação tributária do(s) município(s) onde serão prestados os serviços</w:t>
      </w:r>
      <w:r w:rsidR="00BA53C6" w:rsidRPr="0039509F">
        <w:t xml:space="preserve"> (</w:t>
      </w:r>
      <w:r w:rsidRPr="0039509F">
        <w:t>percentual proporcional entre o limite máximo de 5% e o limite mínimo de 2%</w:t>
      </w:r>
      <w:r w:rsidR="00BA53C6" w:rsidRPr="0039509F">
        <w:t>).</w:t>
      </w:r>
    </w:p>
    <w:p w14:paraId="34F4E342" w14:textId="24320549" w:rsidR="007403BE" w:rsidRPr="00BF287B" w:rsidRDefault="00043EB2" w:rsidP="0039509F">
      <w:pPr>
        <w:pStyle w:val="ApTexto"/>
        <w:spacing w:before="0" w:after="360"/>
      </w:pPr>
      <w:r w:rsidRPr="0039509F">
        <w:t>Cumpre alertar que</w:t>
      </w:r>
      <w:r w:rsidR="007403BE" w:rsidRPr="0039509F">
        <w:t xml:space="preserve">, quanto </w:t>
      </w:r>
      <w:r w:rsidR="007403BE" w:rsidRPr="00BF287B">
        <w:t xml:space="preserve">maior a distância do percentual de BDI utilizado em relação à média indicada no acórdão, mais </w:t>
      </w:r>
      <w:r w:rsidR="007403BE" w:rsidRPr="00BF287B">
        <w:rPr>
          <w:b/>
          <w:bCs/>
        </w:rPr>
        <w:t>robusta</w:t>
      </w:r>
      <w:r w:rsidR="007403BE" w:rsidRPr="00BF287B">
        <w:t xml:space="preserve"> deverá ser a </w:t>
      </w:r>
      <w:r w:rsidR="007403BE" w:rsidRPr="00BF287B">
        <w:rPr>
          <w:b/>
          <w:bCs/>
        </w:rPr>
        <w:t>justificativa</w:t>
      </w:r>
      <w:r w:rsidR="007403BE" w:rsidRPr="00BF287B">
        <w:t xml:space="preserve"> para a adoção do índice escolhido.</w:t>
      </w:r>
    </w:p>
    <w:p w14:paraId="0E11A9B2" w14:textId="71AE1012" w:rsidR="001F50CA" w:rsidRPr="00C81941" w:rsidRDefault="001F50CA" w:rsidP="0039509F">
      <w:pPr>
        <w:pStyle w:val="ApTexto"/>
        <w:spacing w:before="0" w:after="360"/>
      </w:pPr>
      <w:r w:rsidRPr="00BF287B">
        <w:t xml:space="preserve">Nesse diapasão, na justificativa, cumpre ao profissional </w:t>
      </w:r>
      <w:r w:rsidRPr="00BF287B">
        <w:rPr>
          <w:b/>
          <w:bCs/>
        </w:rPr>
        <w:t xml:space="preserve">declarar expressamente a </w:t>
      </w:r>
      <w:r w:rsidRPr="00C81941">
        <w:rPr>
          <w:b/>
          <w:bCs/>
        </w:rPr>
        <w:t>metodologia adotada e certificar a observâncias dos parâmetros supra</w:t>
      </w:r>
      <w:r w:rsidRPr="00C81941">
        <w:t xml:space="preserve">. </w:t>
      </w:r>
    </w:p>
    <w:p w14:paraId="754E0104" w14:textId="77777777" w:rsidR="00C81941" w:rsidRPr="00C81941" w:rsidRDefault="00C81941" w:rsidP="00C81941">
      <w:pPr>
        <w:pStyle w:val="ApTexto"/>
        <w:spacing w:after="360"/>
      </w:pPr>
      <w:r w:rsidRPr="00C81941">
        <w:t>Alertamos, ainda, que, a depender do parâmetro utilizado, pode ocorrer de o BDI estar embutido no preço paradigma, caso em que o orçamentista deverá considerar tal condição, conforme alerta de Valmir Campelo e Rafael Jardim Cavalcante:</w:t>
      </w:r>
    </w:p>
    <w:p w14:paraId="3DAB7255" w14:textId="2D43B9E3" w:rsidR="00C81941" w:rsidRDefault="00C81941" w:rsidP="00C81941">
      <w:pPr>
        <w:pStyle w:val="ApCitao"/>
        <w:spacing w:before="0" w:after="360"/>
        <w:ind w:left="2552" w:firstLine="0"/>
      </w:pPr>
      <w:r w:rsidRPr="00C81941">
        <w:rPr>
          <w:sz w:val="22"/>
          <w:szCs w:val="22"/>
        </w:rPr>
        <w:t>Quando</w:t>
      </w:r>
      <w:r w:rsidRPr="00C81941">
        <w:t xml:space="preserve"> se tratar de pesquisas de preços de serviços, deve haver o cuidado de não duplicar, total ou parcialmente, o BDI já embutido no preço do serviço pesquisado. Via de regra, os preços sondados já embutem os custos indiretos necessários à execução daqueles encargos contratuais (como tributos, custos administrativos e lucro). Aplicar, novamente, o BDI contratual sobre o valor da pesquisa pode redundar na </w:t>
      </w:r>
      <w:proofErr w:type="spellStart"/>
      <w:r w:rsidRPr="00C81941">
        <w:t>sobreavaliação</w:t>
      </w:r>
      <w:proofErr w:type="spellEnd"/>
      <w:r w:rsidRPr="00C81941">
        <w:t xml:space="preserve"> de preços do serviço em comparação com os de mercado, mormente quando o serviço for executado diretamente pela futura contratada (sem a subcontratação). (CAMPELO, Valmir; CAVALCANTE, Rafael Jardim. Obras públicas comentários à jurisprudência do TCU. 4. ed. Belo Horizonte: Fórum, 2018. p. 605)</w:t>
      </w:r>
    </w:p>
    <w:p w14:paraId="4ACE59F8" w14:textId="474F5C06" w:rsidR="00BF287B" w:rsidRPr="00BF287B" w:rsidRDefault="001E704A" w:rsidP="0039509F">
      <w:pPr>
        <w:pStyle w:val="ApTexto"/>
        <w:spacing w:before="0" w:after="360"/>
      </w:pPr>
      <w:hyperlink w:anchor="nt_10_retorno" w:history="1">
        <w:r w:rsidR="00A93963" w:rsidRPr="00A93963">
          <w:rPr>
            <w:rStyle w:val="Hyperlink"/>
          </w:rPr>
          <w:t>Voltar ao preenchimento</w:t>
        </w:r>
      </w:hyperlink>
    </w:p>
    <w:p w14:paraId="0A512E47" w14:textId="2A80864F" w:rsidR="00001F07" w:rsidRPr="0039509F" w:rsidRDefault="00BF287B"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szCs w:val="24"/>
          <w:lang w:eastAsia="pt-BR"/>
        </w:rPr>
      </w:pPr>
      <w:bookmarkStart w:id="108" w:name="_Ref136507191"/>
      <w:bookmarkStart w:id="109" w:name="_Toc142556226"/>
      <w:bookmarkStart w:id="110" w:name="nt_11"/>
      <w:r w:rsidRPr="0039509F">
        <w:rPr>
          <w:rFonts w:asciiTheme="majorHAnsi" w:hAnsiTheme="majorHAnsi" w:cstheme="majorHAnsi"/>
          <w:szCs w:val="24"/>
          <w:lang w:eastAsia="pt-BR"/>
        </w:rPr>
        <w:t>BDI REDUZIDO SOBRE OS CUSTOS DOS MATERIAIS E EQUIPAMENTOS</w:t>
      </w:r>
      <w:bookmarkEnd w:id="108"/>
      <w:bookmarkEnd w:id="109"/>
    </w:p>
    <w:bookmarkEnd w:id="110"/>
    <w:p w14:paraId="46E96250" w14:textId="00223108" w:rsidR="00DD1EB9" w:rsidRDefault="00DD1EB9" w:rsidP="0039509F">
      <w:pPr>
        <w:pStyle w:val="ApTexto"/>
        <w:spacing w:before="0" w:after="360"/>
      </w:pPr>
      <w:r w:rsidRPr="0039509F">
        <w:t xml:space="preserve">Quando o fornecimento de materiais e equipamentos para a obra ou serviço de engenharia representar parcela significativa do empreendimento </w:t>
      </w:r>
      <w:r w:rsidRPr="0039509F">
        <w:rPr>
          <w:b/>
        </w:rPr>
        <w:t>e</w:t>
      </w:r>
      <w:r w:rsidRPr="0039509F">
        <w:t xml:space="preserve"> puder ser realizado separadamente do contrato principal sem comprometimento da eficiência do contrato ou da realização do seu objeto, a Administração deverá realizar </w:t>
      </w:r>
      <w:r w:rsidRPr="0039509F">
        <w:rPr>
          <w:b/>
        </w:rPr>
        <w:t>licitações diferentes</w:t>
      </w:r>
      <w:r w:rsidRPr="0039509F">
        <w:t xml:space="preserve"> para a empreitada e para o fornecimento.</w:t>
      </w:r>
    </w:p>
    <w:p w14:paraId="3ABFA5E5" w14:textId="39DD2CD4" w:rsidR="00C81941" w:rsidRPr="00C81941" w:rsidRDefault="00C81941" w:rsidP="00C81941">
      <w:pPr>
        <w:pStyle w:val="ApTexto"/>
        <w:spacing w:before="0" w:after="360"/>
      </w:pPr>
      <w:r w:rsidRPr="00C81941">
        <w:t>Nos termos da SÚMULA TCU 253, “Comprovada a inviabilidade técnico-econômica de parcelamento do objeto da licitação, nos termos da legislação em vigor, os itens de fornecimento de materiais e equipamentos de natureza específica que possam ser fornecidos por empresas com especialidades próprias e diversas e que representem percentual significativo do preço global da obra devem apresentar incidência de taxa de Bonificação e Despesas Indiretas - BDI reduzida em relação à taxa aplicável aos demais itens. Ressaltamos, novamente, que a elaboração de Curva ABC poderá revelar o impacto dos preços dos materiais e equipamentos no orçamento final da obra – e embasar a decisão pela incidência do BDI reduzido.</w:t>
      </w:r>
    </w:p>
    <w:p w14:paraId="02538328" w14:textId="5D4A789B" w:rsidR="00DD1EB9" w:rsidRPr="0039509F" w:rsidRDefault="00B343F4" w:rsidP="0039509F">
      <w:pPr>
        <w:pStyle w:val="ApTexto"/>
        <w:spacing w:before="0" w:after="360"/>
        <w:rPr>
          <w:b/>
          <w:lang w:eastAsia="pt-BR"/>
        </w:rPr>
      </w:pPr>
      <w:r w:rsidRPr="0039509F">
        <w:rPr>
          <w:b/>
        </w:rPr>
        <w:lastRenderedPageBreak/>
        <w:t>Portanto</w:t>
      </w:r>
      <w:r w:rsidR="003D10B9" w:rsidRPr="0039509F">
        <w:rPr>
          <w:b/>
        </w:rPr>
        <w:t>, q</w:t>
      </w:r>
      <w:r w:rsidR="00DD1EB9" w:rsidRPr="0039509F">
        <w:rPr>
          <w:b/>
        </w:rPr>
        <w:t>uando verificar tal situação, o órgão deve adaptar o modelo de composição de BDI, de forma a prever duas composições distintas: uma</w:t>
      </w:r>
      <w:r w:rsidR="00A65B00" w:rsidRPr="0039509F">
        <w:rPr>
          <w:b/>
        </w:rPr>
        <w:t xml:space="preserve"> </w:t>
      </w:r>
      <w:r w:rsidR="00DD1EB9" w:rsidRPr="0039509F">
        <w:rPr>
          <w:b/>
        </w:rPr>
        <w:t>incidente sobre as parcelas relativas a materiais e equipamentos, outra incidente sobre as demais parcelas do serviço.</w:t>
      </w:r>
    </w:p>
    <w:p w14:paraId="58DB41D0" w14:textId="14B479CA" w:rsidR="00DD1EB9" w:rsidRPr="0039509F" w:rsidRDefault="00DD1EB9" w:rsidP="0039509F">
      <w:pPr>
        <w:pStyle w:val="ApTexto"/>
        <w:spacing w:before="0" w:after="360"/>
      </w:pPr>
      <w:r w:rsidRPr="0039509F">
        <w:t>Segundo o estudo do Acórdão n</w:t>
      </w:r>
      <w:r w:rsidR="00A65B00" w:rsidRPr="0039509F">
        <w:t>.</w:t>
      </w:r>
      <w:r w:rsidRPr="0039509F">
        <w:t xml:space="preserve"> 2.622/2013 - Plenário do TCU, o BDI para itens de mero fornecimento de materiais e equipamentos deve corresponder aos percentuais de 11,10% (1º quartil) – 14,02% (médio) – 16,80% (3º quartil).</w:t>
      </w:r>
    </w:p>
    <w:p w14:paraId="6E78AFD0" w14:textId="083B04CD" w:rsidR="00DD1EB9" w:rsidRPr="0039509F" w:rsidRDefault="00DD1EB9" w:rsidP="0039509F">
      <w:pPr>
        <w:pStyle w:val="ApTexto"/>
        <w:spacing w:before="0" w:after="360"/>
      </w:pPr>
      <w:r w:rsidRPr="0039509F">
        <w:t xml:space="preserve">De todo modo, conforme art. </w:t>
      </w:r>
      <w:r w:rsidR="007306CC">
        <w:t>15</w:t>
      </w:r>
      <w:r w:rsidRPr="0039509F">
        <w:t xml:space="preserve">, </w:t>
      </w:r>
      <w:r w:rsidR="007306CC">
        <w:t>parágrafo único</w:t>
      </w:r>
      <w:r w:rsidRPr="0039509F">
        <w:t>, do Decreto</w:t>
      </w:r>
      <w:r w:rsidR="007306CC">
        <w:t xml:space="preserve"> Municipal</w:t>
      </w:r>
      <w:r w:rsidRPr="0039509F">
        <w:t xml:space="preserve"> n</w:t>
      </w:r>
      <w:r w:rsidR="00A65B00" w:rsidRPr="0039509F">
        <w:t>.</w:t>
      </w:r>
      <w:r w:rsidR="007306CC">
        <w:t>º</w:t>
      </w:r>
      <w:r w:rsidRPr="0039509F">
        <w:t xml:space="preserve"> </w:t>
      </w:r>
      <w:r w:rsidR="007306CC">
        <w:t>036</w:t>
      </w:r>
      <w:r w:rsidR="00A65B00" w:rsidRPr="0039509F">
        <w:t xml:space="preserve">, de </w:t>
      </w:r>
      <w:r w:rsidRPr="0039509F">
        <w:t>20</w:t>
      </w:r>
      <w:r w:rsidR="007306CC">
        <w:t>2</w:t>
      </w:r>
      <w:r w:rsidRPr="0039509F">
        <w:t xml:space="preserve">3, no caso do fornecimento de equipamentos, sistemas e materiais em que o contratado não atue como intermediário entre o fabricante e a administração pública ou que tenham projetos, fabricações e logísticas não padronizados e não enquadrados como itens de fabricação regular e contínua, nos mercados nacional ou internacional, o BDI poderá ser calculado e justificado com base na </w:t>
      </w:r>
      <w:r w:rsidRPr="0039509F">
        <w:rPr>
          <w:b/>
        </w:rPr>
        <w:t>complexidade</w:t>
      </w:r>
      <w:r w:rsidRPr="0039509F">
        <w:t xml:space="preserve"> da aquisição, excetuando-se a regra anteriormente prevista.</w:t>
      </w:r>
    </w:p>
    <w:p w14:paraId="0AF40D69" w14:textId="3BBBBC11" w:rsidR="00FA1886" w:rsidRPr="0039509F" w:rsidRDefault="00FA1886" w:rsidP="0039509F">
      <w:pPr>
        <w:pStyle w:val="ApTexto"/>
        <w:spacing w:before="0" w:after="360"/>
      </w:pPr>
      <w:r w:rsidRPr="0039509F">
        <w:t xml:space="preserve">Por fim, convém esclarecer que o BDI Diferenciado </w:t>
      </w:r>
      <w:r w:rsidRPr="0039509F">
        <w:rPr>
          <w:b/>
        </w:rPr>
        <w:t>não</w:t>
      </w:r>
      <w:r w:rsidRPr="0039509F">
        <w:t xml:space="preserve"> abrange os materiais ordinários da contratação (Acórdão TCU n. 2842/2011-Plenário).</w:t>
      </w:r>
    </w:p>
    <w:bookmarkStart w:id="111" w:name="_Ref136507156"/>
    <w:p w14:paraId="155BBF6D" w14:textId="2A9F1152" w:rsidR="002337EA" w:rsidRPr="0039509F" w:rsidRDefault="00A93963" w:rsidP="002337EA">
      <w:pPr>
        <w:pStyle w:val="ApTexto"/>
        <w:spacing w:before="0" w:after="360"/>
        <w:rPr>
          <w:lang w:eastAsia="pt-BR"/>
        </w:rPr>
      </w:pPr>
      <w:r>
        <w:fldChar w:fldCharType="begin"/>
      </w:r>
      <w:r>
        <w:instrText>HYPERLINK  \l "nt_11_retorno"</w:instrText>
      </w:r>
      <w:r>
        <w:fldChar w:fldCharType="separate"/>
      </w:r>
      <w:r w:rsidRPr="00A93963">
        <w:rPr>
          <w:rStyle w:val="Hyperlink"/>
        </w:rPr>
        <w:t>Voltar ao preenchimento</w:t>
      </w:r>
      <w:r>
        <w:fldChar w:fldCharType="end"/>
      </w:r>
    </w:p>
    <w:p w14:paraId="07DA109B" w14:textId="1C05FBA1" w:rsidR="00001F07" w:rsidRPr="0039509F" w:rsidRDefault="00166741"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szCs w:val="24"/>
          <w:lang w:eastAsia="pt-BR"/>
        </w:rPr>
      </w:pPr>
      <w:bookmarkStart w:id="112" w:name="_Toc142556227"/>
      <w:bookmarkStart w:id="113" w:name="nt_12"/>
      <w:r w:rsidRPr="0039509F">
        <w:rPr>
          <w:rFonts w:asciiTheme="majorHAnsi" w:hAnsiTheme="majorHAnsi" w:cstheme="majorHAnsi"/>
          <w:szCs w:val="24"/>
          <w:lang w:eastAsia="pt-BR"/>
        </w:rPr>
        <w:t>ELABORAÇÃO DE CRONOGRAMA FÍSICO-FINANCEIRO</w:t>
      </w:r>
      <w:bookmarkEnd w:id="111"/>
      <w:bookmarkEnd w:id="112"/>
    </w:p>
    <w:bookmarkEnd w:id="113"/>
    <w:p w14:paraId="66F35C97" w14:textId="7E163AF7" w:rsidR="00DD1EB9" w:rsidRPr="0039509F" w:rsidRDefault="00DD1EB9" w:rsidP="0039509F">
      <w:pPr>
        <w:pStyle w:val="ApTexto"/>
        <w:spacing w:before="0" w:after="360"/>
        <w:rPr>
          <w:b/>
          <w:bCs/>
          <w:u w:val="single"/>
          <w:lang w:eastAsia="pt-BR"/>
        </w:rPr>
      </w:pPr>
      <w:r w:rsidRPr="0039509F">
        <w:t>Nos termos do art. 1</w:t>
      </w:r>
      <w:r w:rsidR="00113A60">
        <w:t>8</w:t>
      </w:r>
      <w:r w:rsidRPr="0039509F">
        <w:t xml:space="preserve"> do Decreto</w:t>
      </w:r>
      <w:r w:rsidR="00113A60">
        <w:t xml:space="preserve"> Municipal</w:t>
      </w:r>
      <w:r w:rsidRPr="0039509F">
        <w:t xml:space="preserve"> n</w:t>
      </w:r>
      <w:r w:rsidR="00500711" w:rsidRPr="0039509F">
        <w:t>.</w:t>
      </w:r>
      <w:r w:rsidR="00113A60">
        <w:t>º</w:t>
      </w:r>
      <w:r w:rsidRPr="0039509F">
        <w:t xml:space="preserve"> </w:t>
      </w:r>
      <w:r w:rsidR="00113A60">
        <w:t>036</w:t>
      </w:r>
      <w:r w:rsidRPr="0039509F">
        <w:t>, de 20</w:t>
      </w:r>
      <w:r w:rsidR="00113A60">
        <w:t>2</w:t>
      </w:r>
      <w:r w:rsidRPr="0039509F">
        <w:t>3, a minuta de contrato deverá conter cronograma físico-financeiro com a especificação física completa das etapas necessárias à medição, ao monitoramento e ao controle das obras.</w:t>
      </w:r>
    </w:p>
    <w:p w14:paraId="21340617" w14:textId="2194C0B1" w:rsidR="00DD1EB9" w:rsidRPr="0039509F" w:rsidRDefault="00DD1EB9" w:rsidP="0039509F">
      <w:pPr>
        <w:pStyle w:val="ApTexto"/>
        <w:spacing w:before="0" w:after="360"/>
        <w:rPr>
          <w:lang w:eastAsia="en-GB"/>
        </w:rPr>
      </w:pPr>
      <w:r w:rsidRPr="0039509F">
        <w:rPr>
          <w:lang w:eastAsia="en-GB"/>
        </w:rPr>
        <w:t>Conforme explica o Manual de Obras e Serviços de Engenharia da AGU, o cronograma físico-financeiro consiste na divisão da obra ou serviço de engenharia em fases que deverão ser executadas sequencialmente, onde cada uma delas prevê as atividades que serão realizadas e os respectivos prazos de execução, ao final das quais a Administração deverá verificar o devido cumprimento em comparação com as especificações dos projetos básico/executivo e atestar as condições daquilo que foi entregue pela contratada a fim de determinar as correções devidas pelo executor da obra ou comunicar ao setor financeiro competente a possibilidade de deflagração dos procedimentos pertinentes ao pagamento da etapa cumprida.</w:t>
      </w:r>
    </w:p>
    <w:p w14:paraId="63DA7626" w14:textId="5F829C6B" w:rsidR="00DD1EB9" w:rsidRPr="0039509F" w:rsidRDefault="00DD1EB9" w:rsidP="0039509F">
      <w:pPr>
        <w:pStyle w:val="ApTexto"/>
        <w:spacing w:before="0" w:after="360"/>
        <w:rPr>
          <w:b/>
          <w:bCs/>
          <w:u w:val="single"/>
          <w:lang w:eastAsia="pt-BR"/>
        </w:rPr>
      </w:pPr>
      <w:r w:rsidRPr="0039509F">
        <w:t>Na empreitada por preço global, o cronograma adquire importância ímpar, pois o critério de aceitabilidade da proposta vencedora não incidirá sobre seus preços unitários, e sim sobre o preço de cada uma das etapas previstas no referido documento, que deverá ficar igual ou abaixo dos preços de referência correspondentes da administração pública (</w:t>
      </w:r>
      <w:proofErr w:type="spellStart"/>
      <w:r w:rsidRPr="0039509F">
        <w:t>art</w:t>
      </w:r>
      <w:r w:rsidR="002447D6">
        <w:t>s</w:t>
      </w:r>
      <w:proofErr w:type="spellEnd"/>
      <w:r w:rsidRPr="0039509F">
        <w:t xml:space="preserve">. </w:t>
      </w:r>
      <w:r w:rsidR="002447D6">
        <w:t>19 e 20</w:t>
      </w:r>
      <w:r w:rsidRPr="0039509F">
        <w:t xml:space="preserve">, do Decreto </w:t>
      </w:r>
      <w:r w:rsidR="002447D6">
        <w:t xml:space="preserve">Municipal </w:t>
      </w:r>
      <w:r w:rsidRPr="0039509F">
        <w:t>n</w:t>
      </w:r>
      <w:r w:rsidR="005A34A2" w:rsidRPr="0039509F">
        <w:t>.</w:t>
      </w:r>
      <w:r w:rsidR="002447D6">
        <w:t>º</w:t>
      </w:r>
      <w:r w:rsidRPr="0039509F">
        <w:t xml:space="preserve"> </w:t>
      </w:r>
      <w:r w:rsidR="002447D6">
        <w:t>036</w:t>
      </w:r>
      <w:r w:rsidRPr="0039509F">
        <w:t>, de 20</w:t>
      </w:r>
      <w:r w:rsidR="002447D6">
        <w:t>2</w:t>
      </w:r>
      <w:r w:rsidRPr="0039509F">
        <w:t>3</w:t>
      </w:r>
      <w:r w:rsidR="005A34A2" w:rsidRPr="0039509F">
        <w:t>)</w:t>
      </w:r>
      <w:r w:rsidRPr="0039509F">
        <w:t>.</w:t>
      </w:r>
    </w:p>
    <w:p w14:paraId="4EF368D2" w14:textId="2D3F4A15" w:rsidR="00DD1EB9" w:rsidRPr="0039509F" w:rsidRDefault="00DD1EB9" w:rsidP="0039509F">
      <w:pPr>
        <w:pStyle w:val="ApTexto"/>
        <w:spacing w:before="0" w:after="360"/>
        <w:rPr>
          <w:b/>
          <w:bCs/>
          <w:u w:val="single"/>
          <w:lang w:eastAsia="pt-BR"/>
        </w:rPr>
      </w:pPr>
      <w:r w:rsidRPr="007E20D7">
        <w:rPr>
          <w:color w:val="000000"/>
          <w:lang w:eastAsia="en-GB"/>
        </w:rPr>
        <w:lastRenderedPageBreak/>
        <w:t>Da mesma forma, durante a execução contratual, a remuneração devida à contratada também seguirá o valor de cada etapa do cronograma – sendo altamente recomendável que a previsão de pagamento coincida com 100% (cem por cento) da conclusão da respectiva etapa, a fim de se evitar a necessidade de medição (atividade própria da empreitada por preço unitário).</w:t>
      </w:r>
    </w:p>
    <w:p w14:paraId="63679966" w14:textId="696B60FE" w:rsidR="003B0AF6" w:rsidRPr="0039509F" w:rsidRDefault="58992F2F" w:rsidP="0039509F">
      <w:pPr>
        <w:pStyle w:val="ApTexto"/>
        <w:spacing w:before="0" w:after="360"/>
        <w:rPr>
          <w:lang w:eastAsia="pt-BR"/>
        </w:rPr>
      </w:pPr>
      <w:r w:rsidRPr="0039509F">
        <w:rPr>
          <w:color w:val="000000" w:themeColor="text1"/>
        </w:rPr>
        <w:t xml:space="preserve">Já na </w:t>
      </w:r>
      <w:r w:rsidRPr="0039509F">
        <w:rPr>
          <w:lang w:eastAsia="pt-BR"/>
        </w:rPr>
        <w:t>empreitada por preço unitário, os pagamentos são atrelados aos quantitativos efetivamente executados pela contratada, com base nos preços unitários registrados em sua planilha. Ainda assim, o cronograma é importante instrumento para acompanhar as etapas de execução contratual, além de também basear a medição dos serviços prestados.</w:t>
      </w:r>
    </w:p>
    <w:p w14:paraId="630E0FEE" w14:textId="603D087E" w:rsidR="0554D60B" w:rsidRPr="0039509F" w:rsidRDefault="001E704A" w:rsidP="0039509F">
      <w:pPr>
        <w:pStyle w:val="ApTexto"/>
        <w:spacing w:before="0" w:after="360"/>
        <w:rPr>
          <w:lang w:eastAsia="pt-BR"/>
        </w:rPr>
      </w:pPr>
      <w:hyperlink w:anchor="nt_12_retorno" w:history="1">
        <w:r w:rsidR="00A93963" w:rsidRPr="00A93963">
          <w:rPr>
            <w:rStyle w:val="Hyperlink"/>
          </w:rPr>
          <w:t>Voltar ao preenchimento</w:t>
        </w:r>
      </w:hyperlink>
    </w:p>
    <w:p w14:paraId="0746A3CF" w14:textId="04D3D255" w:rsidR="0554D60B" w:rsidRPr="007E20D7" w:rsidRDefault="007E20D7"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szCs w:val="24"/>
          <w:lang w:eastAsia="pt-BR"/>
        </w:rPr>
      </w:pPr>
      <w:bookmarkStart w:id="114" w:name="_Toc142556228"/>
      <w:bookmarkStart w:id="115" w:name="nt_13"/>
      <w:r w:rsidRPr="0039509F">
        <w:rPr>
          <w:rFonts w:asciiTheme="majorHAnsi" w:hAnsiTheme="majorHAnsi" w:cstheme="majorHAnsi"/>
          <w:szCs w:val="24"/>
          <w:lang w:eastAsia="pt-BR"/>
        </w:rPr>
        <w:t>PROJETO EXECUTIVO</w:t>
      </w:r>
      <w:bookmarkEnd w:id="114"/>
    </w:p>
    <w:bookmarkEnd w:id="115"/>
    <w:p w14:paraId="0ECF8465" w14:textId="0E9CDB5B" w:rsidR="2D2FAC09" w:rsidRPr="0039509F" w:rsidRDefault="4074B459" w:rsidP="0039509F">
      <w:pPr>
        <w:pStyle w:val="ApTexto"/>
        <w:spacing w:before="0" w:after="360"/>
        <w:rPr>
          <w:color w:val="000000" w:themeColor="text1"/>
        </w:rPr>
      </w:pPr>
      <w:r w:rsidRPr="0039509F">
        <w:rPr>
          <w:color w:val="000000" w:themeColor="text1"/>
        </w:rPr>
        <w:t>O projeto executivo é requisito obrigatório da contratação de obras e serviços (art. 46, § 1º, da Lei n</w:t>
      </w:r>
      <w:r w:rsidR="6EB2C303" w:rsidRPr="0039509F">
        <w:rPr>
          <w:color w:val="000000" w:themeColor="text1"/>
        </w:rPr>
        <w:t>.</w:t>
      </w:r>
      <w:r w:rsidRPr="00B105EE">
        <w:rPr>
          <w:color w:val="000000" w:themeColor="text1"/>
        </w:rPr>
        <w:t xml:space="preserve"> 14.133</w:t>
      </w:r>
      <w:r w:rsidR="5B72ECD5" w:rsidRPr="0039509F">
        <w:rPr>
          <w:color w:val="000000" w:themeColor="text1"/>
        </w:rPr>
        <w:t>, de 20</w:t>
      </w:r>
      <w:r w:rsidRPr="00B105EE">
        <w:rPr>
          <w:color w:val="000000" w:themeColor="text1"/>
        </w:rPr>
        <w:t>21)</w:t>
      </w:r>
      <w:r w:rsidR="500AB0CD" w:rsidRPr="0039509F">
        <w:rPr>
          <w:color w:val="000000" w:themeColor="text1"/>
        </w:rPr>
        <w:t xml:space="preserve"> - </w:t>
      </w:r>
      <w:r w:rsidRPr="00B105EE">
        <w:rPr>
          <w:color w:val="000000" w:themeColor="text1"/>
        </w:rPr>
        <w:t xml:space="preserve">inclusive </w:t>
      </w:r>
      <w:r w:rsidR="5087F5AE" w:rsidRPr="0039509F">
        <w:rPr>
          <w:color w:val="000000" w:themeColor="text1"/>
        </w:rPr>
        <w:t>nos casos de</w:t>
      </w:r>
      <w:r w:rsidRPr="00B105EE">
        <w:rPr>
          <w:color w:val="000000" w:themeColor="text1"/>
        </w:rPr>
        <w:t xml:space="preserve"> contratação direta (art. 72, I, da Lei n</w:t>
      </w:r>
      <w:r w:rsidR="01B99D3B" w:rsidRPr="0039509F">
        <w:rPr>
          <w:color w:val="000000" w:themeColor="text1"/>
        </w:rPr>
        <w:t>.</w:t>
      </w:r>
      <w:r w:rsidRPr="00B105EE">
        <w:rPr>
          <w:color w:val="000000" w:themeColor="text1"/>
        </w:rPr>
        <w:t xml:space="preserve"> 14.133</w:t>
      </w:r>
      <w:r w:rsidR="59783A9D" w:rsidRPr="0039509F">
        <w:rPr>
          <w:color w:val="000000" w:themeColor="text1"/>
        </w:rPr>
        <w:t>, de 20</w:t>
      </w:r>
      <w:r w:rsidRPr="00B105EE">
        <w:rPr>
          <w:color w:val="000000" w:themeColor="text1"/>
        </w:rPr>
        <w:t>21)</w:t>
      </w:r>
      <w:r w:rsidR="5E64FD31" w:rsidRPr="0039509F">
        <w:rPr>
          <w:color w:val="000000" w:themeColor="text1"/>
        </w:rPr>
        <w:t xml:space="preserve"> -</w:t>
      </w:r>
      <w:r w:rsidRPr="00B105EE">
        <w:rPr>
          <w:color w:val="000000" w:themeColor="text1"/>
        </w:rPr>
        <w:t xml:space="preserve"> e deve ser realizad</w:t>
      </w:r>
      <w:r w:rsidR="540165D5" w:rsidRPr="0039509F">
        <w:rPr>
          <w:color w:val="000000" w:themeColor="text1"/>
        </w:rPr>
        <w:t>o</w:t>
      </w:r>
      <w:r w:rsidRPr="00B105EE">
        <w:rPr>
          <w:color w:val="000000" w:themeColor="text1"/>
        </w:rPr>
        <w:t xml:space="preserve"> na fase preparatória da licitação, previamente à elaboração do edital d</w:t>
      </w:r>
      <w:r w:rsidR="19A30B78" w:rsidRPr="0039509F">
        <w:rPr>
          <w:color w:val="000000" w:themeColor="text1"/>
        </w:rPr>
        <w:t xml:space="preserve">o certame </w:t>
      </w:r>
      <w:r w:rsidRPr="00B105EE">
        <w:rPr>
          <w:color w:val="000000" w:themeColor="text1"/>
        </w:rPr>
        <w:t>(art. 18, II, da Lei n</w:t>
      </w:r>
      <w:r w:rsidR="6B78E359" w:rsidRPr="0039509F">
        <w:rPr>
          <w:color w:val="000000" w:themeColor="text1"/>
        </w:rPr>
        <w:t>.</w:t>
      </w:r>
      <w:r w:rsidRPr="00B105EE">
        <w:rPr>
          <w:color w:val="000000" w:themeColor="text1"/>
        </w:rPr>
        <w:t xml:space="preserve"> 14.133</w:t>
      </w:r>
      <w:r w:rsidR="06F3AA12" w:rsidRPr="0039509F">
        <w:rPr>
          <w:color w:val="000000" w:themeColor="text1"/>
        </w:rPr>
        <w:t>, de 20</w:t>
      </w:r>
      <w:r w:rsidRPr="0039509F">
        <w:rPr>
          <w:color w:val="000000" w:themeColor="text1"/>
        </w:rPr>
        <w:t>21).</w:t>
      </w:r>
    </w:p>
    <w:p w14:paraId="39E54CDE" w14:textId="0A7E4952" w:rsidR="2D2FAC09" w:rsidRPr="00B105EE" w:rsidRDefault="0EF8BFA4" w:rsidP="0039509F">
      <w:pPr>
        <w:pStyle w:val="ApTexto"/>
        <w:spacing w:before="0" w:after="360"/>
      </w:pPr>
      <w:r w:rsidRPr="0039509F">
        <w:t>Segundo a definição legal, é o conjunto dos elementos necessários e suficientes à execução completa da obra, com o detalhamento das soluções previstas no projeto básico, a identificação de serviços, de materiais e de equipamentos a serem incorporados à obra, bem como suas especificações técnicas, de acordo com as normas técnicas pertinentes (art. 6º, XXVI, da Lei n</w:t>
      </w:r>
      <w:r w:rsidR="2ECCAF54" w:rsidRPr="0039509F">
        <w:t>.</w:t>
      </w:r>
      <w:r w:rsidRPr="00B105EE">
        <w:t xml:space="preserve"> 14.133</w:t>
      </w:r>
      <w:r w:rsidR="524FD924" w:rsidRPr="0039509F">
        <w:t>, de 20</w:t>
      </w:r>
      <w:r w:rsidRPr="00B105EE">
        <w:t xml:space="preserve">21). </w:t>
      </w:r>
    </w:p>
    <w:p w14:paraId="54B44B6A" w14:textId="505921EA" w:rsidR="2D2FAC09" w:rsidRPr="0039509F" w:rsidRDefault="0EF8BFA4" w:rsidP="0039509F">
      <w:pPr>
        <w:pStyle w:val="ApTexto"/>
        <w:spacing w:before="0" w:after="360"/>
      </w:pPr>
      <w:r w:rsidRPr="00B105EE">
        <w:t>Porém, a Administração poderá autorizar que o projeto executivo seja elaborado pelo próprio contratado, concomitantemente com a execução da obra ou serviço (art. 14, § 4º, da Lei n</w:t>
      </w:r>
      <w:r w:rsidR="205483C8" w:rsidRPr="0039509F">
        <w:t>.</w:t>
      </w:r>
      <w:r w:rsidRPr="00B105EE">
        <w:t xml:space="preserve"> 14.133</w:t>
      </w:r>
      <w:r w:rsidR="54144CCE" w:rsidRPr="0039509F">
        <w:t>, de 20</w:t>
      </w:r>
      <w:r w:rsidRPr="00B105EE">
        <w:t>21).</w:t>
      </w:r>
    </w:p>
    <w:p w14:paraId="5A0B7BDA" w14:textId="69E77C46" w:rsidR="3334A544" w:rsidRPr="0039509F" w:rsidRDefault="3334A544" w:rsidP="0039509F">
      <w:pPr>
        <w:pStyle w:val="ApTexto"/>
        <w:spacing w:before="0" w:after="360"/>
      </w:pPr>
      <w:r w:rsidRPr="0039509F">
        <w:t xml:space="preserve">Em tal situação, para que a tarefa de elaboração do projeto executivo possa ser repassada à contratada, é necessário que os documentos técnicos prévios da licitação sejam suficientemente detalhados, com a descrição completa das características e especificações relevantes do objeto licitado, nos termos do art. 6°, XXV, da Lei n. 14.133, de 2021.O projeto básico deve possuir nível de precisão e detalhamento que permita caracterizar adequadamente o empreendimento, inferir seus custos reais e definir metodologia e prazo de execução. </w:t>
      </w:r>
      <w:r w:rsidR="5C9D227C" w:rsidRPr="0039509F">
        <w:t>Não é admissível a realização de licitação com base em projeto básico deficiente, carente dos detalhamentos exigidos por lei, para que, em momento seguinte à contratação, quando da elaboração do projeto executivo</w:t>
      </w:r>
      <w:r w:rsidR="04406907" w:rsidRPr="0039509F">
        <w:t xml:space="preserve"> pela contratada</w:t>
      </w:r>
      <w:r w:rsidR="5C9D227C" w:rsidRPr="0039509F">
        <w:t>,</w:t>
      </w:r>
      <w:r w:rsidR="7D449968" w:rsidRPr="0039509F">
        <w:t xml:space="preserve"> </w:t>
      </w:r>
      <w:r w:rsidR="5C9D227C" w:rsidRPr="0039509F">
        <w:t>sejam procedidas expressivas alterações no projeto</w:t>
      </w:r>
      <w:r w:rsidR="324CFB0B" w:rsidRPr="0039509F">
        <w:t>.</w:t>
      </w:r>
      <w:r w:rsidR="4E4887AE" w:rsidRPr="0039509F">
        <w:t xml:space="preserve"> Nesse sentido, preceitua </w:t>
      </w:r>
      <w:r w:rsidRPr="0039509F">
        <w:t>o Manual de Obras e Serviços de Engenharia da AGU:</w:t>
      </w:r>
    </w:p>
    <w:p w14:paraId="7E90F9F6" w14:textId="143922EF" w:rsidR="3334A544" w:rsidRPr="00235D35" w:rsidRDefault="3334A544" w:rsidP="00235D35">
      <w:pPr>
        <w:pStyle w:val="ApCitao"/>
        <w:spacing w:before="0" w:after="360"/>
        <w:ind w:left="2552" w:firstLine="0"/>
        <w:rPr>
          <w:sz w:val="22"/>
          <w:szCs w:val="22"/>
        </w:rPr>
      </w:pPr>
      <w:r w:rsidRPr="00235D35">
        <w:rPr>
          <w:sz w:val="22"/>
          <w:szCs w:val="22"/>
        </w:rPr>
        <w:t xml:space="preserve">O que a lei não diz explicitamente é que essa faculdade somente pode ser exercida se o nível de detalhamento do projeto básico for suficientemente alto para extirpar subjetivismos por parte das licitantes. Ou seja, a definição dos métodos, quantitativos, prazos e valores deverá ser tão precisa que a elaboração do projeto executivo se torne algo que pode ser </w:t>
      </w:r>
      <w:r w:rsidRPr="00235D35">
        <w:rPr>
          <w:sz w:val="22"/>
          <w:szCs w:val="22"/>
        </w:rPr>
        <w:lastRenderedPageBreak/>
        <w:t>realizado por qualquer uma das licitantes sem grandes variações, tal como se fosse um “serviço de prateleira”, isto é, semelhante a um serviço comum de engenharia.</w:t>
      </w:r>
    </w:p>
    <w:p w14:paraId="2D0504C1" w14:textId="60F1DB34" w:rsidR="3334A544" w:rsidRPr="00235D35" w:rsidRDefault="3334A544" w:rsidP="00235D35">
      <w:pPr>
        <w:pStyle w:val="ApCitao"/>
        <w:spacing w:before="0" w:after="360"/>
        <w:ind w:left="2552" w:firstLine="0"/>
        <w:rPr>
          <w:sz w:val="22"/>
          <w:szCs w:val="22"/>
        </w:rPr>
      </w:pPr>
      <w:r w:rsidRPr="00235D35">
        <w:rPr>
          <w:sz w:val="22"/>
          <w:szCs w:val="22"/>
        </w:rPr>
        <w:t>Para tanto, é necessário que os estudos preliminares, o programa de necessidades, o projeto básico e o caderno de especificações, dentre outros, sejam suficientemente claros e de grande precisão. Além disso, é necessário que constem as plantas conceituais do objeto. Não se permitem especificações genéricas ou amplas que deixem a cargo da licitante a opção por um modo de execução que influencie diretamente no preço ou no bem que interessa à Administração.</w:t>
      </w:r>
    </w:p>
    <w:p w14:paraId="23B3E558" w14:textId="299C84E3" w:rsidR="0542670C" w:rsidRPr="00B105EE" w:rsidRDefault="0542670C" w:rsidP="0039509F">
      <w:pPr>
        <w:pStyle w:val="ApTexto"/>
        <w:spacing w:before="0" w:after="360"/>
      </w:pPr>
      <w:r w:rsidRPr="0039509F">
        <w:t>Ressalta-se</w:t>
      </w:r>
      <w:r w:rsidR="1718BE05" w:rsidRPr="0039509F">
        <w:t xml:space="preserve"> que, caso a responsabilidade pela elaboração dos projetos executivos seja transferida à contratada, isso deve constar como obrigação específica no Termo de Referência ou Projeto Básico e os custos inerentes devem estar contemplados na proposta.</w:t>
      </w:r>
    </w:p>
    <w:p w14:paraId="0A62F2CD" w14:textId="639D3AAF" w:rsidR="2D2FAC09" w:rsidRPr="0039509F" w:rsidRDefault="1718BE05" w:rsidP="0039509F">
      <w:pPr>
        <w:pStyle w:val="ApTexto"/>
        <w:spacing w:before="0" w:after="360"/>
      </w:pPr>
      <w:r w:rsidRPr="0039509F">
        <w:t xml:space="preserve">Por fim, </w:t>
      </w:r>
      <w:r w:rsidR="5064B21D" w:rsidRPr="0039509F">
        <w:t>é importante mencionar que, excepcionalmente, admite-se</w:t>
      </w:r>
      <w:r w:rsidR="4074B459" w:rsidRPr="00B105EE">
        <w:t>, nos termos do § 1º do art. 46 da Lei n</w:t>
      </w:r>
      <w:r w:rsidR="2E3E2545" w:rsidRPr="0039509F">
        <w:t>.</w:t>
      </w:r>
      <w:r w:rsidR="4074B459" w:rsidRPr="00B105EE">
        <w:t xml:space="preserve"> 14.133</w:t>
      </w:r>
      <w:r w:rsidR="6C004766" w:rsidRPr="0039509F">
        <w:t>, de 202</w:t>
      </w:r>
      <w:r w:rsidR="4074B459" w:rsidRPr="00B105EE">
        <w:t>1</w:t>
      </w:r>
      <w:r w:rsidR="541622D2" w:rsidRPr="0039509F">
        <w:t>, a contratação de obras e serviços comuns de engenharia sem projeto executivo nos casos em que o estudo técnico preliminar demonstrar a inexistência de prejuízo para a aferição dos padrões de desempenho e qualidade almejados e a especificação do objeto puder ser realizada apenas em termo de referência ou em projeto básico.</w:t>
      </w:r>
    </w:p>
    <w:p w14:paraId="053C112A" w14:textId="4A54BA57" w:rsidR="0554D60B" w:rsidRPr="0039509F" w:rsidRDefault="001E704A" w:rsidP="00A93963">
      <w:pPr>
        <w:pStyle w:val="ApTexto"/>
        <w:spacing w:before="0" w:after="360"/>
        <w:ind w:firstLine="708"/>
      </w:pPr>
      <w:hyperlink w:anchor="nt_13_retorno" w:history="1">
        <w:r w:rsidR="00A93963" w:rsidRPr="00A93963">
          <w:rPr>
            <w:rStyle w:val="Hyperlink"/>
          </w:rPr>
          <w:t>Voltar ao preenchimento</w:t>
        </w:r>
      </w:hyperlink>
    </w:p>
    <w:p w14:paraId="7C529421" w14:textId="4CCCC3B9" w:rsidR="0554D60B" w:rsidRPr="0039509F" w:rsidRDefault="00E159DF"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szCs w:val="24"/>
          <w:lang w:eastAsia="pt-BR"/>
        </w:rPr>
      </w:pPr>
      <w:bookmarkStart w:id="116" w:name="_Toc142556229"/>
      <w:bookmarkStart w:id="117" w:name="nt_14"/>
      <w:r w:rsidRPr="0039509F">
        <w:rPr>
          <w:rFonts w:asciiTheme="majorHAnsi" w:hAnsiTheme="majorHAnsi" w:cstheme="majorHAnsi"/>
          <w:szCs w:val="24"/>
          <w:lang w:eastAsia="pt-BR"/>
        </w:rPr>
        <w:t>QUALIFICAÇÃO TÉCNICA</w:t>
      </w:r>
      <w:bookmarkEnd w:id="116"/>
    </w:p>
    <w:bookmarkEnd w:id="117"/>
    <w:p w14:paraId="54C265F2" w14:textId="28D709D2" w:rsidR="0554D60B" w:rsidRPr="004E0CBC" w:rsidRDefault="35157D50" w:rsidP="004E0CBC">
      <w:pPr>
        <w:pStyle w:val="ApTexto"/>
        <w:spacing w:before="0" w:after="360"/>
        <w:ind w:firstLine="0"/>
        <w:rPr>
          <w:b/>
          <w:bCs/>
        </w:rPr>
      </w:pPr>
      <w:r w:rsidRPr="00B105EE">
        <w:rPr>
          <w:b/>
          <w:bCs/>
        </w:rPr>
        <w:t>Registro da empresa no conselho profissional</w:t>
      </w:r>
    </w:p>
    <w:p w14:paraId="0B16F3BA" w14:textId="4A7219BA" w:rsidR="59834F99" w:rsidRPr="00B105EE" w:rsidRDefault="35157D50" w:rsidP="00B105EE">
      <w:pPr>
        <w:pStyle w:val="ApTexto"/>
        <w:spacing w:before="0" w:after="360"/>
      </w:pPr>
      <w:r w:rsidRPr="00B105EE">
        <w:t>A exigência de registro da empresa na entidade profissional competente (art. 67, V, da Lei n. 14.133, de 2021) refere-se à atividade básica do objeto da contratação - conforme entende o TCU:</w:t>
      </w:r>
    </w:p>
    <w:p w14:paraId="6CC59A2D" w14:textId="39A80970" w:rsidR="59834F99" w:rsidRPr="00B105EE" w:rsidRDefault="35157D50" w:rsidP="00B105EE">
      <w:pPr>
        <w:pStyle w:val="ApCitao"/>
        <w:spacing w:before="0" w:after="360"/>
        <w:ind w:left="2552" w:firstLine="0"/>
      </w:pPr>
      <w:r w:rsidRPr="00B105EE">
        <w:rPr>
          <w:sz w:val="22"/>
          <w:szCs w:val="22"/>
        </w:rPr>
        <w:t>"9.3.1. faça constar dos editais, de forma clara e detalhada, a fundamentação legal para a exigência de registro ou inscrição das licitantes em entidades fiscalizadoras do exercício de profissões, abstendo-se de exigir o registro ou inscrição das empresas licitantes quando não figurar no âmbito de competência destas entidades a fiscalização da atividade básica do objeto do certame;" (Acórdão nº 1.034/2012 – Plenário)</w:t>
      </w:r>
    </w:p>
    <w:p w14:paraId="48447BA3" w14:textId="004BC031" w:rsidR="59834F99" w:rsidRPr="00B105EE" w:rsidRDefault="35157D50" w:rsidP="00B105EE">
      <w:pPr>
        <w:pStyle w:val="ApCitao"/>
        <w:spacing w:before="0" w:after="360"/>
        <w:ind w:left="2552" w:firstLine="0"/>
      </w:pPr>
      <w:r w:rsidRPr="00B105EE">
        <w:rPr>
          <w:sz w:val="22"/>
          <w:szCs w:val="22"/>
        </w:rPr>
        <w:t>"1. O registro ou inscrição na entidade profissional competente, previsto no art. 30, inciso I, da Lei 8.666/1993, deve se limitar ao conselho que fiscalize a atividade básica ou o serviço preponderante da licitação." (Acórdão nº 2.769/2014 – Plenário)</w:t>
      </w:r>
    </w:p>
    <w:p w14:paraId="311AF911" w14:textId="427D4A2C" w:rsidR="59834F99" w:rsidRPr="00B105EE" w:rsidRDefault="35157D50" w:rsidP="00B105EE">
      <w:pPr>
        <w:pStyle w:val="ApCitao"/>
        <w:spacing w:before="0" w:after="360"/>
        <w:ind w:left="2552" w:firstLine="0"/>
      </w:pPr>
      <w:r w:rsidRPr="00B105EE">
        <w:rPr>
          <w:sz w:val="22"/>
          <w:szCs w:val="22"/>
        </w:rPr>
        <w:t xml:space="preserve">"A exigência de registro ou inscrição na entidade profissional competente, prevista no art. 30, inciso I, da Lei 8.666/1993, deve se limitar ao conselho </w:t>
      </w:r>
      <w:r w:rsidRPr="00B105EE">
        <w:rPr>
          <w:sz w:val="22"/>
          <w:szCs w:val="22"/>
        </w:rPr>
        <w:lastRenderedPageBreak/>
        <w:t>que fiscalize a atividade básica ou o serviço preponderante da licitação." (Informativo de Licitações e Contratos 286/2016)</w:t>
      </w:r>
    </w:p>
    <w:p w14:paraId="3DC90234" w14:textId="5C497029" w:rsidR="59834F99" w:rsidRPr="00B105EE" w:rsidRDefault="35157D50" w:rsidP="00B105EE">
      <w:pPr>
        <w:pStyle w:val="ApTexto"/>
        <w:spacing w:before="0" w:after="360"/>
      </w:pPr>
      <w:r w:rsidRPr="00B105EE">
        <w:t>O Projeto Básico deverá definir os profissionais que serão necessários à execução do objeto licitado para, então, permitir ao edital delimitar a necessidade de inscrição da licitante no CREA – Conselho Regional de Engenharia e Agronomia, no CAU – Conselho de Arquitetura e Urbanismo, ou CRT (Conselho Regional dos Técnicos Industriais), ou ainda em mais de um deles, no caso de equipe multidisciplinar ou de as competências exigidas serem comuns a mais de uma das profissões.</w:t>
      </w:r>
    </w:p>
    <w:p w14:paraId="14597B9B" w14:textId="5187894E" w:rsidR="0554D60B" w:rsidRPr="00D60F8F" w:rsidRDefault="35157D50" w:rsidP="00B105EE">
      <w:pPr>
        <w:pStyle w:val="ApTexto"/>
        <w:spacing w:before="0" w:after="360"/>
      </w:pPr>
      <w:r w:rsidRPr="00B105EE">
        <w:t>Nesse ponto, destaca-se que a Lei n</w:t>
      </w:r>
      <w:r w:rsidR="59C59829" w:rsidRPr="0039509F">
        <w:t>.</w:t>
      </w:r>
      <w:r w:rsidRPr="00B105EE">
        <w:t xml:space="preserve"> 13.639, de 2018, criou o Conselho Federal dos Técnicos Industriais – CFT e a Resolução CFT n</w:t>
      </w:r>
      <w:r w:rsidR="548ED03C" w:rsidRPr="0039509F">
        <w:t>.</w:t>
      </w:r>
      <w:r w:rsidRPr="00B105EE">
        <w:t xml:space="preserve"> 101, de 2020, prescreve as atribuições desses profissionais. Assim, compete ao órgão ou entidade avaliar qual profissional é o necessário e adequado ao objeto licitado e estabelecer a exigência pertinente. O mais importante nessa avaliação é cuidar para não excluir profissionais que possuam competência para executar o objeto, segundo as normas da respectiva categoria, porque isso representaria restrição indevida à competitividade.</w:t>
      </w:r>
    </w:p>
    <w:p w14:paraId="00C72388" w14:textId="2B45D402" w:rsidR="0554D60B" w:rsidRPr="00D60F8F" w:rsidRDefault="5A35995D" w:rsidP="00D60F8F">
      <w:pPr>
        <w:pStyle w:val="ApTexto"/>
        <w:spacing w:before="0" w:after="360"/>
        <w:ind w:firstLine="0"/>
        <w:rPr>
          <w:b/>
          <w:bCs/>
        </w:rPr>
      </w:pPr>
      <w:r w:rsidRPr="0039509F">
        <w:rPr>
          <w:b/>
          <w:bCs/>
        </w:rPr>
        <w:t>Capacidade técnico-operacional</w:t>
      </w:r>
    </w:p>
    <w:p w14:paraId="33F44CE1" w14:textId="6EAABAE4" w:rsidR="4268873B" w:rsidRPr="00B105EE" w:rsidRDefault="0F439309" w:rsidP="00B105EE">
      <w:pPr>
        <w:pStyle w:val="ApTexto"/>
        <w:spacing w:before="0" w:after="360"/>
      </w:pPr>
      <w:r w:rsidRPr="00B105EE">
        <w:t>A comprovação da capacidade técnico-operacional deve limitar-se às parcelas simultaneamente de maior relevância e valor significativo do objeto licitado (Súmula n</w:t>
      </w:r>
      <w:r w:rsidR="005D4E94">
        <w:t>.</w:t>
      </w:r>
      <w:r w:rsidRPr="00B105EE">
        <w:t xml:space="preserve"> 263/2011-TCU), assim consideradas as que tenham valor individual igual ou superior a 4% (quatro por cento) do valor total estimado da contratação, conforme art. 67, § 1º</w:t>
      </w:r>
      <w:r w:rsidRPr="0039509F">
        <w:t>,</w:t>
      </w:r>
      <w:r w:rsidRPr="00B105EE">
        <w:t xml:space="preserve"> da Lei n</w:t>
      </w:r>
      <w:r w:rsidRPr="0039509F">
        <w:t>.</w:t>
      </w:r>
      <w:r w:rsidRPr="00B105EE">
        <w:t xml:space="preserve"> 14.133</w:t>
      </w:r>
      <w:r w:rsidRPr="0039509F">
        <w:t>, de 20</w:t>
      </w:r>
      <w:r w:rsidRPr="00B105EE">
        <w:t xml:space="preserve">21. </w:t>
      </w:r>
    </w:p>
    <w:p w14:paraId="74E3CAA9" w14:textId="1FDCE1B1" w:rsidR="4268873B" w:rsidRPr="00B105EE" w:rsidRDefault="0F439309" w:rsidP="00B105EE">
      <w:pPr>
        <w:pStyle w:val="ApTexto"/>
        <w:spacing w:before="0" w:after="360"/>
      </w:pPr>
      <w:r w:rsidRPr="00B105EE">
        <w:t>Como mencionado, um instrumento fundamental para definir quais seriam tais parcelas em cada licitação é a Curva ABC, tanto para os serviços quanto para os insumos necessários à execução do objeto. Tal documento agrupa e ordena os itens do orçamento de acordo com seu peso no valor total estimado para a contratação – e permite visualizar os itens de maior relevância econômica.</w:t>
      </w:r>
    </w:p>
    <w:p w14:paraId="19091A53" w14:textId="575BFF78" w:rsidR="4268873B" w:rsidRPr="00B105EE" w:rsidRDefault="0F439309" w:rsidP="00B105EE">
      <w:pPr>
        <w:pStyle w:val="ApTexto"/>
        <w:spacing w:before="0" w:after="360"/>
      </w:pPr>
      <w:r w:rsidRPr="00B105EE">
        <w:t>No mais, o critério de relevância econômica deve ser aliado à relevância técnica – ou seja, aquelas parcelas cuja execução apresente determinado grau de complexidade que nem toda empresa possa cumprir de forma satisfatória, demandando assim a comprovação prévia para evitar riscos futuros à contratação.</w:t>
      </w:r>
    </w:p>
    <w:p w14:paraId="45693196" w14:textId="0D6D26D8" w:rsidR="4268873B" w:rsidRPr="00B105EE" w:rsidRDefault="1E5CD83C" w:rsidP="00B105EE">
      <w:pPr>
        <w:pStyle w:val="ApTexto"/>
        <w:spacing w:before="0" w:after="360"/>
      </w:pPr>
      <w:r w:rsidRPr="00B105EE">
        <w:t>O TCU, a propósito, já considerou irregular a exigência de qualificação técnica “em item sem grande complexidade técnica” (Acórdão n</w:t>
      </w:r>
      <w:r w:rsidR="575A9D3D" w:rsidRPr="0039509F">
        <w:t>.</w:t>
      </w:r>
      <w:r w:rsidRPr="00B105EE">
        <w:t>33/2013 – Plenário), bem como “relativa à execução de serviço de pequena complexidade técnica” (Acórdão n</w:t>
      </w:r>
      <w:r w:rsidR="39158DB2" w:rsidRPr="0039509F">
        <w:t>.</w:t>
      </w:r>
      <w:r w:rsidRPr="00B105EE">
        <w:t xml:space="preserve"> 1.898/2011 – Plenário).</w:t>
      </w:r>
    </w:p>
    <w:p w14:paraId="1E5D5E7D" w14:textId="2F77E856" w:rsidR="4268873B" w:rsidRPr="00B105EE" w:rsidRDefault="1E5CD83C" w:rsidP="00B105EE">
      <w:pPr>
        <w:pStyle w:val="ApTexto"/>
        <w:spacing w:before="0" w:after="360"/>
      </w:pPr>
      <w:r w:rsidRPr="00B105EE">
        <w:t>A Lei n</w:t>
      </w:r>
      <w:r w:rsidR="45DB0345" w:rsidRPr="0039509F">
        <w:t>.</w:t>
      </w:r>
      <w:r w:rsidRPr="00B105EE">
        <w:t xml:space="preserve"> 14.133</w:t>
      </w:r>
      <w:r w:rsidR="77A808B6" w:rsidRPr="0039509F">
        <w:t>, de 20</w:t>
      </w:r>
      <w:r w:rsidRPr="00B105EE">
        <w:t>21, em consonância com consolidada jurisprudência do TCU (Acórdãos n</w:t>
      </w:r>
      <w:r w:rsidR="66112C6A" w:rsidRPr="0039509F">
        <w:t>.</w:t>
      </w:r>
      <w:r w:rsidRPr="00B105EE">
        <w:t xml:space="preserve"> 2.099/2009, 2.147/2009, 813/2010, 1.432/2010, 3.105/2010, 1.832/2011, 2.672/2011, 737/2012, 1.052/2012, 1.552/2012, 2.281/2012 e 397/2013, todos do Plenário), admite a exigência de atestados com quantidades mínimas, desde que limitadas até 50% </w:t>
      </w:r>
      <w:r w:rsidRPr="00B105EE">
        <w:lastRenderedPageBreak/>
        <w:t>(cinquenta por cento) do quantitativo das parcelas de maior relevância, vedadas limitações de tempo e de locais específicos relativas aos atestados.</w:t>
      </w:r>
    </w:p>
    <w:p w14:paraId="0DE622D0" w14:textId="26190A1A" w:rsidR="0554D60B" w:rsidRPr="0039509F" w:rsidRDefault="1E5CD83C" w:rsidP="00D60F8F">
      <w:pPr>
        <w:pStyle w:val="ApTexto"/>
        <w:spacing w:before="0" w:after="360"/>
      </w:pPr>
      <w:r w:rsidRPr="00B105EE">
        <w:t>No que se refere à fixação de quantidades mínimas, o TCU manifesta-se pela necessidade de razoabilidade na exigência, em patamar que não restrinja a competição: “Embora seja possível a fixação de quantidades mínimas, relativas às parcelas de maior relevância e valor significativo do objeto da licitação, essa exigência deve ser razoável, num patamar que possa garantir que a empresa contratada tenha condições técnicas para executar o objeto licitado, mas que não restrinja a competitividade. A comparação efetuada pela unidade técnica demonstra claramente que as quantidades mínimas previstas na concorrência ora examinada são excessivas, limitando desnecessariamente o universo de possíveis interessados em participar do certame licitatório.” (Voto no Acórdão n</w:t>
      </w:r>
      <w:r w:rsidR="3E0767E0" w:rsidRPr="0039509F">
        <w:t>.</w:t>
      </w:r>
      <w:r w:rsidRPr="00B105EE">
        <w:t xml:space="preserve"> 1.771/2007 – Plenário).</w:t>
      </w:r>
    </w:p>
    <w:p w14:paraId="5760E777" w14:textId="2BB20A70" w:rsidR="0554D60B" w:rsidRPr="00D60F8F" w:rsidRDefault="40889DF4" w:rsidP="00D60F8F">
      <w:pPr>
        <w:spacing w:after="360" w:line="257" w:lineRule="auto"/>
        <w:rPr>
          <w:b/>
          <w:bCs/>
        </w:rPr>
      </w:pPr>
      <w:r w:rsidRPr="00D60F8F">
        <w:rPr>
          <w:rFonts w:asciiTheme="majorHAnsi" w:hAnsiTheme="majorHAnsi" w:cstheme="majorHAnsi"/>
          <w:b/>
          <w:bCs/>
          <w:sz w:val="24"/>
          <w:szCs w:val="24"/>
        </w:rPr>
        <w:t xml:space="preserve"> Possibilidade de somatório dos atestados</w:t>
      </w:r>
    </w:p>
    <w:p w14:paraId="6555DDA9" w14:textId="42138821" w:rsidR="394BBB3A" w:rsidRPr="00B105EE" w:rsidRDefault="32B8F420" w:rsidP="00B105EE">
      <w:pPr>
        <w:pStyle w:val="ApTexto"/>
        <w:spacing w:before="0" w:after="360"/>
      </w:pPr>
      <w:r w:rsidRPr="00B105EE">
        <w:t>Segundo defende a jurisprudência do TCU, cabe aceitar o somatório de atestados para atingimento dos quantitativos mínimos dos serviços demandados na capacitação técnico-operacional do licitante (Acórdãos n</w:t>
      </w:r>
      <w:r w:rsidR="005D4E94">
        <w:t>.</w:t>
      </w:r>
      <w:r w:rsidRPr="00B105EE">
        <w:t xml:space="preserve"> 170/2007, 1.631/2007, 727/2009, 1.382/2009, 1.823/2009, 2.783/2009, 3.260/2011, 342/2012, 1.028/2012, 1.231/2012, 1.380/2012, 1.552/2012, 2.869/2012 e 1.391/2014 – Plenário).</w:t>
      </w:r>
    </w:p>
    <w:p w14:paraId="1A6139E7" w14:textId="3FFA8EEB" w:rsidR="394BBB3A" w:rsidRPr="00B105EE" w:rsidRDefault="32B8F420" w:rsidP="00B105EE">
      <w:pPr>
        <w:pStyle w:val="ApTexto"/>
        <w:spacing w:before="0" w:after="360"/>
      </w:pPr>
      <w:r w:rsidRPr="00B105EE">
        <w:t>Consequentemente, sem que haja devida justificativa técnica, é inviável a fixação de quantidade mínima ou máxima de atestados, de serviços por atestados ou que vedem o somatório de atestados, bem como as limitações de tempo, época, locais específicos ou quaisquer outras não previstas em lei, que inibam a participação da licitação (Acórdãos 1.090/2001, 1.636/2007, 170/2007, 2.640/2007, 1.163/2008, 2.150/2008, 2.783/2009, 3.119/2010 e 3.170/2011, 1079/2013-Plenário (itens 9.5.1 a 9.5.3) (todos do Plenário).</w:t>
      </w:r>
    </w:p>
    <w:p w14:paraId="429E1623" w14:textId="210A5850" w:rsidR="394BBB3A" w:rsidRPr="00B105EE" w:rsidRDefault="32B8F420" w:rsidP="00B105EE">
      <w:pPr>
        <w:pStyle w:val="ApTexto"/>
        <w:spacing w:before="0" w:after="360"/>
      </w:pPr>
      <w:r w:rsidRPr="00B105EE">
        <w:t>Porém, em determinadas situações de maior complexidade técnica, devidamente justificadas, a jurisprudência do TCU admite vedar o somatório de atestados - quando “o aumento de quantitativos do serviço acarretar, incontestavelmente, o aumento da complexidade técnica do objeto ou uma desproporção entre as quantidades e prazos para a sua execução, capazes de ensejar maior capacidade operativa e gerencial da licitante e de potencial comprometimento acerca da qualidade ou da finalidade almejada na contratação da obra ou serviço” (Acórdão n° 2.150/2008 – Plenário).</w:t>
      </w:r>
    </w:p>
    <w:p w14:paraId="3828F290" w14:textId="6352D762" w:rsidR="394BBB3A" w:rsidRPr="00B105EE" w:rsidRDefault="32B8F420" w:rsidP="00B105EE">
      <w:pPr>
        <w:pStyle w:val="ApTexto"/>
        <w:spacing w:before="0" w:after="360"/>
      </w:pPr>
      <w:r w:rsidRPr="00B105EE">
        <w:t>Tome-se como exemplo a construção de uma ponte. A expertise técnica necessária para construir uma ponte de 10km não é a mesma de uma ponte de 100 metros. De nada adianta a empresa provar que já construiu 100 pontes de 100 metros cada: ainda que, no total, representem a mesma extensão, não significa que possui a competência necessária para construir uma única ponte de 10km.</w:t>
      </w:r>
    </w:p>
    <w:p w14:paraId="2CDB6130" w14:textId="7ADE62E2" w:rsidR="394BBB3A" w:rsidRPr="00B105EE" w:rsidRDefault="32B8F420" w:rsidP="00B105EE">
      <w:pPr>
        <w:pStyle w:val="ApTexto"/>
        <w:spacing w:before="0" w:after="360"/>
      </w:pPr>
      <w:r w:rsidRPr="00B105EE">
        <w:t>Daí a finalidade da vedação ao somatório de atestados: a empresa deverá provar já ter executado os serviços de maior dimensão numa única contratação, e não por meio de diversas contratações separadas.</w:t>
      </w:r>
    </w:p>
    <w:p w14:paraId="1400945F" w14:textId="29A55FA3" w:rsidR="394BBB3A" w:rsidRPr="00B105EE" w:rsidRDefault="2C42EB47" w:rsidP="00B105EE">
      <w:pPr>
        <w:pStyle w:val="ApTexto"/>
        <w:spacing w:before="0" w:after="360"/>
      </w:pPr>
      <w:r w:rsidRPr="00B105EE">
        <w:lastRenderedPageBreak/>
        <w:t>Já decidiu o TCU: “Nesse contexto, entendeu a medida razoável pois, em vista da complexidade e do ineditismo dos estudos a serem exigidos do vencedor da licitação, a soma da execução de vários pequenos serviços, de baixa complexidade e valores, não comprovaria que o licitante possui a experiência necessária para bem cumprir o objeto da licitação.” (Acórdão n</w:t>
      </w:r>
      <w:r w:rsidR="3B02DED7" w:rsidRPr="0039509F">
        <w:t>.</w:t>
      </w:r>
      <w:r w:rsidRPr="00B105EE">
        <w:t xml:space="preserve"> 2.032/2020 – Plenário) </w:t>
      </w:r>
    </w:p>
    <w:p w14:paraId="32795EE8" w14:textId="1CB6BEDC" w:rsidR="0554D60B" w:rsidRPr="0039509F" w:rsidRDefault="2C42EB47" w:rsidP="000D14B9">
      <w:pPr>
        <w:pStyle w:val="ApTexto"/>
        <w:spacing w:before="0" w:after="360"/>
      </w:pPr>
      <w:r w:rsidRPr="00B105EE">
        <w:t>Porém, na situação contrária, "se o aumento de quantitativos do serviço não incrementa, incontestavelmente, a complexidade técnica da tarefa, não há motivos para estabelecer limite para o número de atestados" (Acórdão n</w:t>
      </w:r>
      <w:r w:rsidR="77FCFF71" w:rsidRPr="0039509F">
        <w:t>.</w:t>
      </w:r>
      <w:r w:rsidRPr="00B105EE">
        <w:t xml:space="preserve"> 2.760/2012 - Plenário).</w:t>
      </w:r>
    </w:p>
    <w:p w14:paraId="74E0FFBE" w14:textId="1EF4D840" w:rsidR="0554D60B" w:rsidRPr="000D14B9" w:rsidRDefault="1367C707" w:rsidP="000D14B9">
      <w:pPr>
        <w:pStyle w:val="ApTexto"/>
        <w:spacing w:before="0" w:after="360"/>
        <w:ind w:firstLine="0"/>
        <w:rPr>
          <w:b/>
          <w:bCs/>
        </w:rPr>
      </w:pPr>
      <w:r w:rsidRPr="0039509F">
        <w:rPr>
          <w:b/>
          <w:bCs/>
        </w:rPr>
        <w:t xml:space="preserve"> Capacitação técnico-profissional</w:t>
      </w:r>
    </w:p>
    <w:p w14:paraId="1FE1CB84" w14:textId="1A114D0E" w:rsidR="394BBB3A" w:rsidRPr="00B105EE" w:rsidRDefault="32B8F420" w:rsidP="00B105EE">
      <w:pPr>
        <w:pStyle w:val="ApTexto"/>
        <w:spacing w:before="0" w:after="360"/>
      </w:pPr>
      <w:r w:rsidRPr="00B105EE">
        <w:t>A experiência do profissional de engenharia é comprovada por meio da Anotação de Responsabilidade Técnica – ART, que demonstre ter executado previamente determinado serviço. Para o profissional de arquitetura, o documento correspondente é o Registro de Responsabilidade Técnica – RRT, e para o técnico industrial, o Termo de Responsabilidade Técnica - TRT.</w:t>
      </w:r>
    </w:p>
    <w:p w14:paraId="0A50342B" w14:textId="3D9C4DB5" w:rsidR="394BBB3A" w:rsidRPr="00B105EE" w:rsidRDefault="32B8F420" w:rsidP="00B105EE">
      <w:pPr>
        <w:pStyle w:val="ApTexto"/>
        <w:spacing w:before="0" w:after="360"/>
      </w:pPr>
      <w:r w:rsidRPr="00B105EE">
        <w:t xml:space="preserve">As </w:t>
      </w:r>
      <w:proofErr w:type="spellStart"/>
      <w:r w:rsidRPr="00B105EE">
        <w:t>ARTs</w:t>
      </w:r>
      <w:proofErr w:type="spellEnd"/>
      <w:r w:rsidRPr="00B105EE">
        <w:t xml:space="preserve">, </w:t>
      </w:r>
      <w:proofErr w:type="spellStart"/>
      <w:r w:rsidRPr="00B105EE">
        <w:t>RRTs</w:t>
      </w:r>
      <w:proofErr w:type="spellEnd"/>
      <w:r w:rsidRPr="00B105EE">
        <w:t xml:space="preserve"> e </w:t>
      </w:r>
      <w:proofErr w:type="spellStart"/>
      <w:r w:rsidRPr="00B105EE">
        <w:t>TRSs</w:t>
      </w:r>
      <w:proofErr w:type="spellEnd"/>
      <w:r w:rsidRPr="00B105EE">
        <w:t xml:space="preserve"> emitidas em nome de cada profissional são compiladas na respectiva Certidão de Acervo Técnico – CAT, expedida pelo CREA, CAU ou CRT, conforme o caso.</w:t>
      </w:r>
    </w:p>
    <w:p w14:paraId="4655CBF8" w14:textId="7871C9AF" w:rsidR="394BBB3A" w:rsidRPr="00B105EE" w:rsidRDefault="32B8F420" w:rsidP="00B105EE">
      <w:pPr>
        <w:pStyle w:val="ApTexto"/>
        <w:spacing w:before="0" w:after="360"/>
      </w:pPr>
      <w:r w:rsidRPr="00B105EE">
        <w:t>Na licitação pública, a ART, o RRT e o TRT exigidos para comprovar a experiência dos profissionais limitar-se-ão às parcelas de maior relevância e valor significativo do objeto da licitação, vedadas limitações de tempo e de locais específicos relativas aos atestados (art. 67, § 1º da Lei n</w:t>
      </w:r>
      <w:r w:rsidRPr="0039509F">
        <w:t>.</w:t>
      </w:r>
      <w:r w:rsidRPr="00B105EE">
        <w:t xml:space="preserve"> 14.133</w:t>
      </w:r>
      <w:r w:rsidRPr="0039509F">
        <w:t>, de 20</w:t>
      </w:r>
      <w:r w:rsidRPr="00B105EE">
        <w:t>21).</w:t>
      </w:r>
    </w:p>
    <w:p w14:paraId="1748ADB7" w14:textId="736D0CFA" w:rsidR="394BBB3A" w:rsidRPr="00B105EE" w:rsidRDefault="32B8F420" w:rsidP="00B105EE">
      <w:pPr>
        <w:pStyle w:val="ApTexto"/>
        <w:spacing w:before="0" w:after="360"/>
      </w:pPr>
      <w:r w:rsidRPr="00B105EE">
        <w:t>Assim, conforme o objeto licitatório, a exigência deve referir-se à área ou áreas de engenharia/arquitetura/técnica industrial de maior relevo. Por exemplo, em alguns casos, poderia bastar o ART/RRT em relação ao engenheiro civil/arquiteto, em outras pode ser necessário em relação a este e o engenheiro mecânico, ou elétrico, geólogo, urbanista. É essencial que a equipe técnica participe da elaboração da qualificação técnica do TR/PB e que a minuta do edital reitere as previsões.</w:t>
      </w:r>
    </w:p>
    <w:p w14:paraId="049EDCBC" w14:textId="5D882FF2" w:rsidR="394BBB3A" w:rsidRPr="00B105EE" w:rsidRDefault="32B8F420" w:rsidP="00B105EE">
      <w:pPr>
        <w:pStyle w:val="ApTexto"/>
        <w:spacing w:before="0" w:after="360"/>
      </w:pPr>
      <w:r w:rsidRPr="00B105EE">
        <w:t>Novamente, a Curva ABC é instrumento fundamental para definir quais seriam tais parcelas em cada licitação.</w:t>
      </w:r>
    </w:p>
    <w:p w14:paraId="4539AAA6" w14:textId="3B5AF384" w:rsidR="0554D60B" w:rsidRPr="0039509F" w:rsidRDefault="6BA86750" w:rsidP="000D14B9">
      <w:pPr>
        <w:pStyle w:val="ApTexto"/>
        <w:spacing w:before="0" w:after="360"/>
      </w:pPr>
      <w:r w:rsidRPr="0039509F">
        <w:t>Diversamente do que dispunha a Lei de Licitações revogada, a</w:t>
      </w:r>
      <w:r w:rsidR="32B8F420" w:rsidRPr="00B105EE">
        <w:t xml:space="preserve"> Lei n</w:t>
      </w:r>
      <w:r w:rsidR="51841761" w:rsidRPr="0039509F">
        <w:t>.</w:t>
      </w:r>
      <w:r w:rsidR="32B8F420" w:rsidRPr="00B105EE">
        <w:t xml:space="preserve"> 14.133</w:t>
      </w:r>
      <w:r w:rsidR="0440E161" w:rsidRPr="0039509F">
        <w:t>, de 20</w:t>
      </w:r>
      <w:r w:rsidR="32B8F420" w:rsidRPr="00B105EE">
        <w:t>21, expressamente admite a exigência de atestados com quantidades mínimas tanto para os comprovantes de qualificação técnico-profissional quanto técnico-operacional (art. 67, § 1º). Admite, ademais, que na contratação de serviços de natureza continuada se exija a comprovação de que o licitante tenha executado serviços similares ao objeto da licitação, em períodos sucessivos ou não, por um prazo mínimo, que não poderá ser superior a 3 (três) anos (art. 67, § 5º).</w:t>
      </w:r>
    </w:p>
    <w:p w14:paraId="1D9C4C80" w14:textId="3B8B04B1" w:rsidR="0554D60B" w:rsidRPr="000D14B9" w:rsidRDefault="2B8407FC" w:rsidP="000D14B9">
      <w:pPr>
        <w:pStyle w:val="ApTexto"/>
        <w:spacing w:before="0" w:after="360"/>
        <w:ind w:firstLine="0"/>
        <w:rPr>
          <w:b/>
          <w:bCs/>
        </w:rPr>
      </w:pPr>
      <w:r w:rsidRPr="00B105EE">
        <w:rPr>
          <w:b/>
          <w:bCs/>
        </w:rPr>
        <w:lastRenderedPageBreak/>
        <w:t>Exigências de instalações, aparelhamentos e pessoal técnico</w:t>
      </w:r>
    </w:p>
    <w:p w14:paraId="1D970703" w14:textId="05EA5D13" w:rsidR="5663646B" w:rsidRPr="00B105EE" w:rsidRDefault="2B8407FC" w:rsidP="00B105EE">
      <w:pPr>
        <w:pStyle w:val="ApTexto"/>
        <w:spacing w:before="0" w:after="360"/>
      </w:pPr>
      <w:r w:rsidRPr="00B105EE">
        <w:t xml:space="preserve">Segundo o art. 67, inciso II, da Lei </w:t>
      </w:r>
      <w:r w:rsidRPr="0039509F">
        <w:t xml:space="preserve">n. </w:t>
      </w:r>
      <w:r w:rsidRPr="00B105EE">
        <w:t>14.133</w:t>
      </w:r>
      <w:r w:rsidRPr="0039509F">
        <w:t>, de 20</w:t>
      </w:r>
      <w:r w:rsidRPr="00B105EE">
        <w:t>21, dentre os requisitos de qualificação técnica, pode-se exigir que o licitante indique as instalações, aparelhamento e pessoal técnico adequados e disponíveis para a realização do objeto da licitação, bem como a qualificação de cada um dos membros da equipe técnica que se responsabilizará pelos trabalhos.</w:t>
      </w:r>
    </w:p>
    <w:p w14:paraId="7E1445D0" w14:textId="49E7475C" w:rsidR="5663646B" w:rsidRPr="00B105EE" w:rsidRDefault="2B8407FC" w:rsidP="00B105EE">
      <w:pPr>
        <w:pStyle w:val="ApTexto"/>
        <w:spacing w:before="0" w:after="360"/>
      </w:pPr>
      <w:r w:rsidRPr="00B105EE">
        <w:t>Tem sido praxe exigir nos editais uma declaração formal de que a licitante disporá, por ocasião da futura contratação, das instalações, aparelhamento e pessoal técnico considerados essenciais para a execução contratual, mas sem relacionar quais seriam essas instalações, aparelhamento ou pessoal.</w:t>
      </w:r>
    </w:p>
    <w:p w14:paraId="442973C9" w14:textId="2C2A0E33" w:rsidR="5663646B" w:rsidRPr="00B105EE" w:rsidRDefault="2B8407FC" w:rsidP="00B105EE">
      <w:pPr>
        <w:pStyle w:val="ApTexto"/>
        <w:spacing w:before="0" w:after="360"/>
      </w:pPr>
      <w:r w:rsidRPr="00B105EE">
        <w:t>Isso acaba revestindo a exigência de algo absolutamente formal, sem acréscimo algum à garantia do cumprimento das obrigações. Pelo contrário, representa um risco de trazer problemas para a licitação, porque pode inclusive passar desapercebida pela licitante - e eventualmente a melhor proposta vir a ser desclassificada por conta dessa formalidade.</w:t>
      </w:r>
    </w:p>
    <w:p w14:paraId="69EA8652" w14:textId="6DDB5CF5" w:rsidR="0554D60B" w:rsidRDefault="2B8407FC" w:rsidP="000D14B9">
      <w:pPr>
        <w:pStyle w:val="ApTexto"/>
        <w:spacing w:before="0" w:after="360"/>
      </w:pPr>
      <w:r w:rsidRPr="00B105EE">
        <w:t>De qualquer forma, em havendo itens específicos reputados necessários para a execução da obra ou serviço, como determinadas máquinas, equipamentos ou pessoal técnico, o órgão poderá inserir a referida exigência, acrescida, caso necessário, da relação dos compromissos assumidos pelo licitante que importem em diminuição da disponibilidade do pessoal técnico (art. 67, § 8º, da Lei n</w:t>
      </w:r>
      <w:r w:rsidR="47C63C4D" w:rsidRPr="0039509F">
        <w:t>.</w:t>
      </w:r>
      <w:r w:rsidRPr="00B105EE">
        <w:t xml:space="preserve"> 14.133</w:t>
      </w:r>
      <w:r w:rsidR="7BFC0CB2" w:rsidRPr="0039509F">
        <w:t>, de 20</w:t>
      </w:r>
      <w:r w:rsidRPr="00B105EE">
        <w:t>21).</w:t>
      </w:r>
    </w:p>
    <w:p w14:paraId="2914CECD" w14:textId="4462569C" w:rsidR="000D14B9" w:rsidRPr="000D14B9" w:rsidRDefault="001E704A" w:rsidP="000D14B9">
      <w:pPr>
        <w:pStyle w:val="ApTexto"/>
        <w:spacing w:before="0" w:after="360"/>
        <w:rPr>
          <w:rFonts w:eastAsia="Times New Roman"/>
          <w:color w:val="FF0000"/>
        </w:rPr>
      </w:pPr>
      <w:hyperlink w:anchor="nt_14_retorno" w:history="1">
        <w:r w:rsidR="00A93963" w:rsidRPr="00A93963">
          <w:rPr>
            <w:rStyle w:val="Hyperlink"/>
          </w:rPr>
          <w:t>Voltar ao preenchimento</w:t>
        </w:r>
      </w:hyperlink>
    </w:p>
    <w:p w14:paraId="6482A0DB" w14:textId="06BCA1A0" w:rsidR="0554D60B" w:rsidRPr="000D14B9" w:rsidRDefault="00AD66E4"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szCs w:val="24"/>
          <w:lang w:eastAsia="pt-BR"/>
        </w:rPr>
      </w:pPr>
      <w:bookmarkStart w:id="118" w:name="_Toc142556230"/>
      <w:bookmarkStart w:id="119" w:name="nt_15"/>
      <w:r w:rsidRPr="007C759E">
        <w:rPr>
          <w:rFonts w:asciiTheme="majorHAnsi" w:hAnsiTheme="majorHAnsi" w:cstheme="majorHAnsi"/>
          <w:szCs w:val="24"/>
          <w:lang w:eastAsia="pt-BR"/>
        </w:rPr>
        <w:t>VISTORIA</w:t>
      </w:r>
      <w:bookmarkEnd w:id="118"/>
    </w:p>
    <w:bookmarkEnd w:id="119"/>
    <w:p w14:paraId="0479F46B" w14:textId="02D28F18" w:rsidR="06B053F2" w:rsidRPr="00B105EE" w:rsidRDefault="5D5F4D31" w:rsidP="00B105EE">
      <w:pPr>
        <w:pStyle w:val="ApTexto"/>
        <w:spacing w:before="0" w:after="360"/>
      </w:pPr>
      <w:r w:rsidRPr="00B105EE">
        <w:t>Quando a avaliação prévia do local de execução dos serviços for imprescindível para o conhecimento pleno das condições e peculiaridades do objeto a ser contratado, o edital de licitação poderá prever, sob pena de inabilitação, a necessidade de o licitante atestar que conhece o local e as condições de realização da obra ou serviço, assegurando-se ao licitante o direito de realização de vistoria prévia (art. 63, § 2º, da Lei n</w:t>
      </w:r>
      <w:r w:rsidR="5CABC498" w:rsidRPr="0039509F">
        <w:t>.</w:t>
      </w:r>
      <w:r w:rsidRPr="00B105EE">
        <w:t xml:space="preserve"> 14.133</w:t>
      </w:r>
      <w:r w:rsidR="00547AF1">
        <w:t>, de 20</w:t>
      </w:r>
      <w:r w:rsidRPr="00B105EE">
        <w:t>21).</w:t>
      </w:r>
    </w:p>
    <w:p w14:paraId="0FE659EF" w14:textId="432AC264" w:rsidR="06B053F2" w:rsidRPr="00B105EE" w:rsidRDefault="5D5F4D31" w:rsidP="00B105EE">
      <w:pPr>
        <w:pStyle w:val="ApTexto"/>
        <w:spacing w:before="0" w:after="360"/>
      </w:pPr>
      <w:r w:rsidRPr="00B105EE">
        <w:t>A Lei n</w:t>
      </w:r>
      <w:r w:rsidR="722C2CAA" w:rsidRPr="0039509F">
        <w:t>.</w:t>
      </w:r>
      <w:r w:rsidRPr="00B105EE">
        <w:t xml:space="preserve"> 14.133</w:t>
      </w:r>
      <w:r w:rsidR="00547AF1">
        <w:t>, de 20</w:t>
      </w:r>
      <w:r w:rsidRPr="00B105EE">
        <w:t xml:space="preserve">21 determina que a o edital de licitação sempre deverá prever a possibilidade de substituição da vistoria por declaração formal assinada pelo responsável técnico do licitante acerca do conhecimento pleno das condições e peculiaridades da contratação (art. 63, § 2º). Portanto, a partir da nova regulamentação legal da matéria, não é mais admitida a obrigatoriedade de vistoria prévia. Caso o órgão licitante entenda fundamental o conhecimento das condições próprias do local, poderá exigir apenas que o licitante apresente declaração de que conhece as condições do local. </w:t>
      </w:r>
    </w:p>
    <w:p w14:paraId="187E384D" w14:textId="1BE3990B" w:rsidR="06B053F2" w:rsidRPr="00B105EE" w:rsidRDefault="474C3750" w:rsidP="00B105EE">
      <w:pPr>
        <w:pStyle w:val="ApTexto"/>
        <w:spacing w:before="0" w:after="360"/>
      </w:pPr>
      <w:r w:rsidRPr="00B105EE">
        <w:t xml:space="preserve">Em consonância com o entendimento manifestado pelo Tribunal de Contas da União no Acórdão 170/2018 – Plenário (Informativo 339), a vistoria prévia deixa de ser uma obrigação passível de ser imposta pela Administração, e se transforma em um direito das </w:t>
      </w:r>
      <w:r w:rsidRPr="00B105EE">
        <w:lastRenderedPageBreak/>
        <w:t>empresas licitantes, que podem solicitar ao órgão responsável pelo certame a verificação prévia das condições do local onde os serviços serão executados.</w:t>
      </w:r>
    </w:p>
    <w:p w14:paraId="3DEAC4FC" w14:textId="78655101" w:rsidR="0554D60B" w:rsidRPr="00B105EE" w:rsidRDefault="001E704A" w:rsidP="00B105EE">
      <w:pPr>
        <w:pStyle w:val="ApTexto"/>
        <w:spacing w:before="0" w:after="360"/>
        <w:rPr>
          <w:rFonts w:eastAsia="Times New Roman"/>
          <w:color w:val="000000" w:themeColor="text1"/>
        </w:rPr>
      </w:pPr>
      <w:hyperlink w:anchor="nt_15_retorno" w:history="1">
        <w:r w:rsidR="00A93963" w:rsidRPr="00A93963">
          <w:rPr>
            <w:rStyle w:val="Hyperlink"/>
          </w:rPr>
          <w:t>Voltar ao preenchimento</w:t>
        </w:r>
      </w:hyperlink>
    </w:p>
    <w:p w14:paraId="65732E33" w14:textId="712C101D" w:rsidR="00B403B1" w:rsidRPr="0039509F" w:rsidRDefault="00422F67"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szCs w:val="24"/>
          <w:lang w:eastAsia="pt-BR"/>
        </w:rPr>
      </w:pPr>
      <w:bookmarkStart w:id="120" w:name="_Toc142556231"/>
      <w:bookmarkStart w:id="121" w:name="nt_16"/>
      <w:r w:rsidRPr="0039509F">
        <w:rPr>
          <w:rFonts w:asciiTheme="majorHAnsi" w:hAnsiTheme="majorHAnsi" w:cstheme="majorHAnsi"/>
          <w:szCs w:val="24"/>
          <w:lang w:eastAsia="pt-BR"/>
        </w:rPr>
        <w:t>SUBCONTRATAÇÃO</w:t>
      </w:r>
      <w:bookmarkStart w:id="122" w:name="_Ref135834276"/>
      <w:bookmarkEnd w:id="120"/>
    </w:p>
    <w:bookmarkEnd w:id="121"/>
    <w:bookmarkEnd w:id="122"/>
    <w:p w14:paraId="0EC04C59" w14:textId="6175D2AF" w:rsidR="00B403B1" w:rsidRPr="0039509F" w:rsidRDefault="38D6C309" w:rsidP="0039509F">
      <w:pPr>
        <w:pStyle w:val="ApTexto"/>
        <w:spacing w:before="0" w:after="360"/>
      </w:pPr>
      <w:r w:rsidRPr="0039509F">
        <w:t>O art. 122 da Lei n</w:t>
      </w:r>
      <w:r w:rsidR="77315EC8" w:rsidRPr="0039509F">
        <w:t>.</w:t>
      </w:r>
      <w:r w:rsidRPr="0039509F">
        <w:t xml:space="preserve"> 14.133, de 2021, admite a subcontratação parcial de obra, serviço ou fornecimento, até o limite autorizado pela Administração. A subcontratação, desde que autorizada pela Administração, possibilita que terceiro, que não participou do certame licitatório, realize parte do objeto.</w:t>
      </w:r>
    </w:p>
    <w:p w14:paraId="023DA271" w14:textId="77777777" w:rsidR="00B403B1" w:rsidRPr="0039509F" w:rsidRDefault="00B403B1" w:rsidP="0039509F">
      <w:pPr>
        <w:pStyle w:val="ApTexto"/>
        <w:spacing w:before="0" w:after="360"/>
      </w:pPr>
      <w:r w:rsidRPr="0039509F">
        <w:t xml:space="preserve">Vejamos também a doutrina de Marçal </w:t>
      </w:r>
      <w:proofErr w:type="spellStart"/>
      <w:r w:rsidRPr="0039509F">
        <w:t>Justen</w:t>
      </w:r>
      <w:proofErr w:type="spellEnd"/>
      <w:r w:rsidRPr="0039509F">
        <w:t xml:space="preserve"> Filho:</w:t>
      </w:r>
    </w:p>
    <w:p w14:paraId="118D6DB2" w14:textId="77777777" w:rsidR="00B403B1" w:rsidRPr="00D60F8F" w:rsidRDefault="00B403B1" w:rsidP="00D60F8F">
      <w:pPr>
        <w:pStyle w:val="ApCitao"/>
        <w:spacing w:before="0" w:after="360"/>
        <w:ind w:left="2552" w:firstLine="0"/>
        <w:rPr>
          <w:sz w:val="22"/>
          <w:szCs w:val="22"/>
        </w:rPr>
      </w:pPr>
      <w:r w:rsidRPr="00D60F8F">
        <w:rPr>
          <w:sz w:val="22"/>
          <w:szCs w:val="22"/>
        </w:rPr>
        <w:t>A subcontratação torna-se cabível, senão inevitável, quando o objeto licitado comporta uma execução complexa, em que algumas fases, etapas ou aspectos apresentam individualidade e são desempenhadas por terceiros especializados.</w:t>
      </w:r>
    </w:p>
    <w:p w14:paraId="79B5F252" w14:textId="77777777" w:rsidR="00B403B1" w:rsidRPr="00D60F8F" w:rsidRDefault="00B403B1" w:rsidP="00D60F8F">
      <w:pPr>
        <w:pStyle w:val="ApCitao"/>
        <w:spacing w:before="0" w:after="360"/>
        <w:ind w:left="2552" w:firstLine="0"/>
        <w:rPr>
          <w:sz w:val="22"/>
          <w:szCs w:val="22"/>
        </w:rPr>
      </w:pPr>
      <w:r w:rsidRPr="00D60F8F">
        <w:rPr>
          <w:sz w:val="22"/>
          <w:szCs w:val="22"/>
        </w:rPr>
        <w:t>A evolução dos princípios organizacionais produziu o fenômeno terceirização, que deriva dos princípios da especialização e da concentração de atividades. Em vez de desempenhar integralmente todos os ângulos de uma atividade, as empresas tornam-se especialistas em certos setores.</w:t>
      </w:r>
    </w:p>
    <w:p w14:paraId="541E2E85" w14:textId="77777777" w:rsidR="00B403B1" w:rsidRPr="00D60F8F" w:rsidRDefault="00B403B1" w:rsidP="00D60F8F">
      <w:pPr>
        <w:pStyle w:val="ApCitao"/>
        <w:spacing w:before="0" w:after="360"/>
        <w:ind w:left="2552" w:firstLine="0"/>
        <w:rPr>
          <w:sz w:val="22"/>
          <w:szCs w:val="22"/>
        </w:rPr>
      </w:pPr>
      <w:r w:rsidRPr="00D60F8F">
        <w:rPr>
          <w:sz w:val="22"/>
          <w:szCs w:val="22"/>
        </w:rPr>
        <w:t xml:space="preserve">A escolha da Administração deve ser orientada pelos princípios que regem a atividade privada. </w:t>
      </w:r>
    </w:p>
    <w:p w14:paraId="24EB928A" w14:textId="77777777" w:rsidR="00B403B1" w:rsidRPr="00D60F8F" w:rsidRDefault="00B403B1" w:rsidP="00D60F8F">
      <w:pPr>
        <w:pStyle w:val="ApCitao"/>
        <w:spacing w:before="0" w:after="360"/>
        <w:ind w:left="2552" w:firstLine="0"/>
        <w:rPr>
          <w:sz w:val="22"/>
          <w:szCs w:val="22"/>
        </w:rPr>
      </w:pPr>
      <w:r w:rsidRPr="00D60F8F">
        <w:rPr>
          <w:sz w:val="22"/>
          <w:szCs w:val="22"/>
        </w:rPr>
        <w:t>Na iniciativa privada, prevalece a subcontratação na execução de certas prestações. Essa é a solução economicamente mais eficiente e tecnicamente mais satisfatória.</w:t>
      </w:r>
    </w:p>
    <w:p w14:paraId="7C617306" w14:textId="77777777" w:rsidR="00B403B1" w:rsidRPr="00D60F8F" w:rsidRDefault="00B403B1" w:rsidP="00D60F8F">
      <w:pPr>
        <w:pStyle w:val="ApCitao"/>
        <w:spacing w:before="0" w:after="360"/>
        <w:ind w:left="2552" w:firstLine="0"/>
        <w:rPr>
          <w:sz w:val="22"/>
          <w:szCs w:val="22"/>
        </w:rPr>
      </w:pPr>
      <w:r w:rsidRPr="00D60F8F">
        <w:rPr>
          <w:sz w:val="22"/>
          <w:szCs w:val="22"/>
        </w:rPr>
        <w:t>A Administração tem o dever de adotar as práticas mais eficientes, incorporando as práticas próprias da iniciativa privada. Logo, o ato convocatório deve permitir, quando viável, que idênticos procedimentos sejam adotados na execução do contrato administrativo.</w:t>
      </w:r>
    </w:p>
    <w:p w14:paraId="4186A48A" w14:textId="77777777" w:rsidR="00B403B1" w:rsidRPr="00D60F8F" w:rsidRDefault="00B403B1" w:rsidP="00D60F8F">
      <w:pPr>
        <w:pStyle w:val="ApCitao"/>
        <w:spacing w:before="0" w:after="360"/>
        <w:ind w:left="2552" w:firstLine="0"/>
        <w:rPr>
          <w:sz w:val="22"/>
          <w:szCs w:val="22"/>
        </w:rPr>
      </w:pPr>
      <w:r w:rsidRPr="00D60F8F">
        <w:rPr>
          <w:sz w:val="22"/>
          <w:szCs w:val="22"/>
        </w:rPr>
        <w:t>Ao admitir a subcontratação, a Administração obtém vantagens econômicas decorrentes dos ganhos de eficiência do particular contratado.</w:t>
      </w:r>
    </w:p>
    <w:p w14:paraId="6563299B" w14:textId="77777777" w:rsidR="00B403B1" w:rsidRPr="00D60F8F" w:rsidRDefault="00B403B1" w:rsidP="00D60F8F">
      <w:pPr>
        <w:pStyle w:val="ApCitao"/>
        <w:spacing w:before="0" w:after="360"/>
        <w:ind w:left="2552" w:firstLine="0"/>
        <w:rPr>
          <w:sz w:val="22"/>
          <w:szCs w:val="22"/>
        </w:rPr>
      </w:pPr>
      <w:r w:rsidRPr="00D60F8F">
        <w:rPr>
          <w:sz w:val="22"/>
          <w:szCs w:val="22"/>
        </w:rPr>
        <w:t>Estabelecendo regras diversas das práticas entre os particulares, a Administração reduz a competitividade do certame. É óbvio que se pressupõe, em todas as hipóteses, que a Administração comprove se as práticas usuais adotadas pela iniciativa privada são adequadas para satisfazer os interesses fundamentais.</w:t>
      </w:r>
    </w:p>
    <w:p w14:paraId="28401998" w14:textId="77777777" w:rsidR="00B403B1" w:rsidRPr="00D60F8F" w:rsidRDefault="00B403B1" w:rsidP="00D60F8F">
      <w:pPr>
        <w:pStyle w:val="ApCitao"/>
        <w:spacing w:before="0" w:after="360"/>
        <w:ind w:left="2552" w:firstLine="0"/>
        <w:rPr>
          <w:sz w:val="22"/>
          <w:szCs w:val="22"/>
        </w:rPr>
      </w:pPr>
      <w:r w:rsidRPr="00D60F8F">
        <w:rPr>
          <w:sz w:val="22"/>
          <w:szCs w:val="22"/>
        </w:rPr>
        <w:lastRenderedPageBreak/>
        <w:t>A subcontratação pode representar inclusive um fator de ampliação da competição. Há certas atividades dotadas de especialização, complexidade e onerosidade diferenciada. Impor a sua execução de modo necessário pelo próprio contratado pode resultar na redução do universo de possíveis licitantes. Permitir a subcontratação em tais casos é justificado pelas mesmas razões que legitimam a participação de empresas em consórcio.</w:t>
      </w:r>
    </w:p>
    <w:p w14:paraId="3E22A07B" w14:textId="77777777" w:rsidR="00B403B1" w:rsidRPr="00D60F8F" w:rsidRDefault="00B403B1" w:rsidP="00D60F8F">
      <w:pPr>
        <w:pStyle w:val="ApCitao"/>
        <w:spacing w:before="0" w:after="360"/>
        <w:ind w:left="2552" w:firstLine="0"/>
        <w:rPr>
          <w:sz w:val="22"/>
          <w:szCs w:val="22"/>
        </w:rPr>
      </w:pPr>
      <w:r w:rsidRPr="00D60F8F">
        <w:rPr>
          <w:sz w:val="22"/>
          <w:szCs w:val="22"/>
        </w:rPr>
        <w:t>(Comentários à lei de licitações e contratações administrativas. Thomson Reuters Revista dos Tribunais. Edição do Kindle. pp. 1349-1350).</w:t>
      </w:r>
    </w:p>
    <w:p w14:paraId="5173545E" w14:textId="0020601D" w:rsidR="00B403B1" w:rsidRPr="0039509F" w:rsidRDefault="38D6C309" w:rsidP="0039509F">
      <w:pPr>
        <w:pStyle w:val="ApTexto"/>
        <w:spacing w:before="0" w:after="360"/>
        <w:rPr>
          <w:lang w:eastAsia="ar-SA"/>
        </w:rPr>
      </w:pPr>
      <w:r w:rsidRPr="0039509F">
        <w:t xml:space="preserve">O §2º do art. 122 possibilita que edital ou regulamento vedem, restrinjam ou estabeleçam condições para a subcontratação. </w:t>
      </w:r>
      <w:r w:rsidRPr="0039509F">
        <w:rPr>
          <w:lang w:eastAsia="ar-SA"/>
        </w:rPr>
        <w:t>Trata-se de uma faculdade. Portanto, não é obrigatório que o instrumento convocatório ou seus anexos estabeleçam limites à subcontratação. Caso o instrumento convocatório ou seus anexos não delimitem a possibilidade de subcontratação, durante a fase preparatória da licitação, a Administração poderá estabelecer esses limites durante a execução do contrato.</w:t>
      </w:r>
    </w:p>
    <w:p w14:paraId="50787124" w14:textId="77777777" w:rsidR="00B403B1" w:rsidRPr="0039509F" w:rsidRDefault="00B403B1" w:rsidP="0039509F">
      <w:pPr>
        <w:pStyle w:val="ApTexto"/>
        <w:spacing w:before="0" w:after="360"/>
        <w:rPr>
          <w:lang w:eastAsia="ar-SA"/>
        </w:rPr>
      </w:pPr>
      <w:r w:rsidRPr="0039509F">
        <w:rPr>
          <w:lang w:eastAsia="ar-SA"/>
        </w:rPr>
        <w:t>Embora facultativa na fase preparatória, o estabelecimento de condições mínimas para a subcontratação no instrumento convocatório ou em seus anexos é medida que atende aos princípios da impessoalidade, da publicidade, do interesse público, da probidade administrativa, da igualdade, do planejamento, da transparência, da vinculação ao edital, do julgamento objetivo e da segurança jurídica.</w:t>
      </w:r>
    </w:p>
    <w:p w14:paraId="3799477F" w14:textId="7513F885" w:rsidR="00B403B1" w:rsidRPr="0039509F" w:rsidRDefault="38D6C309" w:rsidP="0039509F">
      <w:pPr>
        <w:pStyle w:val="ApTexto"/>
        <w:spacing w:before="0" w:after="360"/>
        <w:rPr>
          <w:lang w:eastAsia="ar-SA"/>
        </w:rPr>
      </w:pPr>
      <w:r w:rsidRPr="0039509F">
        <w:rPr>
          <w:lang w:eastAsia="ar-SA"/>
        </w:rPr>
        <w:t>Na vigência da Lei n</w:t>
      </w:r>
      <w:r w:rsidR="7B4E1348" w:rsidRPr="0039509F">
        <w:rPr>
          <w:lang w:eastAsia="ar-SA"/>
        </w:rPr>
        <w:t>.</w:t>
      </w:r>
      <w:r w:rsidRPr="0039509F">
        <w:rPr>
          <w:lang w:eastAsia="ar-SA"/>
        </w:rPr>
        <w:t xml:space="preserve"> 8.666, de 1993, consolidou-se o entendimento no sentido de que não poderiam ser subcontratadas as parcelas tecnicamente mais complexas ou de valor mais significativo do objeto, que motivaram a necessidade de comprovação de capacidade financeira ou técnica pela licitante contratada (Acórdão 3144/2011-Plenário).</w:t>
      </w:r>
    </w:p>
    <w:p w14:paraId="0E58AFAD" w14:textId="1A320B2B" w:rsidR="00B403B1" w:rsidRPr="0039509F" w:rsidRDefault="38D6C309" w:rsidP="0039509F">
      <w:pPr>
        <w:pStyle w:val="ApTexto"/>
        <w:spacing w:before="0" w:after="360"/>
        <w:rPr>
          <w:lang w:eastAsia="ar-SA"/>
        </w:rPr>
      </w:pPr>
      <w:r w:rsidRPr="0039509F">
        <w:rPr>
          <w:lang w:eastAsia="ar-SA"/>
        </w:rPr>
        <w:t>Contudo, o §9º do art. 67 da Lei n</w:t>
      </w:r>
      <w:r w:rsidR="30496FBF" w:rsidRPr="0039509F">
        <w:rPr>
          <w:lang w:eastAsia="ar-SA"/>
        </w:rPr>
        <w:t>.</w:t>
      </w:r>
      <w:r w:rsidRPr="0039509F">
        <w:rPr>
          <w:lang w:eastAsia="ar-SA"/>
        </w:rPr>
        <w:t xml:space="preserve"> 14.133, de 2021, expressamente admitiu a possibilidade de que a qualificação técnica do licitante, para aspectos técnicos específicos, seja demonstrada por meio de atestados relativos a potencial subcontratado, limitado a 25% (vinte e cinco por cento) do objeto a ser licitado. Por sua vez, o §1º desse artigo limitou a exigência de atestados às parcelas de maior relevância ou valor significativo do objeto da licitação, assim consideradas as que tenham valor individual igual ou superior a 4% (quatro por cento) do valor total estimado da contratação.</w:t>
      </w:r>
    </w:p>
    <w:p w14:paraId="7B583FD5" w14:textId="77777777" w:rsidR="00B403B1" w:rsidRPr="0039509F" w:rsidRDefault="00B403B1" w:rsidP="0039509F">
      <w:pPr>
        <w:pStyle w:val="ApTexto"/>
        <w:spacing w:before="0" w:after="360"/>
        <w:rPr>
          <w:lang w:eastAsia="ar-SA"/>
        </w:rPr>
      </w:pPr>
      <w:r w:rsidRPr="0039509F">
        <w:rPr>
          <w:lang w:eastAsia="ar-SA"/>
        </w:rPr>
        <w:t>Portanto, os §§1º e 9º do art. 67 expressamente possibilitam a subcontratação de parcelas de maior relevância ou valor significativo do objeto da licitação.</w:t>
      </w:r>
    </w:p>
    <w:p w14:paraId="0395D33B" w14:textId="0CE3346F" w:rsidR="00B403B1" w:rsidRPr="0039509F" w:rsidRDefault="38D6C309" w:rsidP="0039509F">
      <w:pPr>
        <w:pStyle w:val="ApTexto"/>
        <w:spacing w:before="0" w:after="360"/>
      </w:pPr>
      <w:r w:rsidRPr="0039509F">
        <w:t>Embora caiba à Administração o juízo de conveniência e oportunidade sobre a possibilidade técnica e a viabilidade de admitir a subcontratação, deve observar o princípio da motivação das decisões administrativas, ainda que discricionárias, considerando que, no Acórdão n</w:t>
      </w:r>
      <w:r w:rsidR="0E79A9CE" w:rsidRPr="0039509F">
        <w:t>.</w:t>
      </w:r>
      <w:r w:rsidRPr="0039509F">
        <w:t xml:space="preserve"> 1.453/2009, Plenário, a Corte de Contas manifestou-se no sentido de que “o princípio da motivação exige que a Administração Pública indique os fundamentos de fato e de direito de suas decisões, inclusive das discricionárias.”</w:t>
      </w:r>
    </w:p>
    <w:p w14:paraId="25D533DC" w14:textId="7B802801" w:rsidR="00B403B1" w:rsidRDefault="00B403B1" w:rsidP="0039509F">
      <w:pPr>
        <w:pStyle w:val="ApTexto"/>
        <w:spacing w:before="0" w:after="360"/>
        <w:rPr>
          <w:lang w:eastAsia="ar-SA"/>
        </w:rPr>
      </w:pPr>
      <w:r w:rsidRPr="0039509F">
        <w:rPr>
          <w:lang w:eastAsia="ar-SA"/>
        </w:rPr>
        <w:lastRenderedPageBreak/>
        <w:t>Assim, a vedação da subcontratação ou o estabelecimento ou não de condições para a sua adoção deve ser motivada pela área técnica do órgão assessorado.</w:t>
      </w:r>
    </w:p>
    <w:p w14:paraId="7E8BA280" w14:textId="73D78743" w:rsidR="0013591A" w:rsidRPr="0039509F" w:rsidRDefault="001E704A" w:rsidP="0039509F">
      <w:pPr>
        <w:pStyle w:val="ApTexto"/>
        <w:spacing w:before="0" w:after="360"/>
        <w:rPr>
          <w:lang w:eastAsia="ar-SA"/>
        </w:rPr>
      </w:pPr>
      <w:hyperlink w:anchor="nt_16_retorno" w:history="1">
        <w:r w:rsidR="00A93963" w:rsidRPr="00A93963">
          <w:rPr>
            <w:rStyle w:val="Hyperlink"/>
          </w:rPr>
          <w:t>Voltar ao preenchimento</w:t>
        </w:r>
      </w:hyperlink>
    </w:p>
    <w:p w14:paraId="7F3345F3" w14:textId="21BB4057" w:rsidR="00B403B1" w:rsidRPr="0039509F" w:rsidRDefault="00422F67"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szCs w:val="24"/>
          <w:lang w:eastAsia="pt-BR"/>
        </w:rPr>
      </w:pPr>
      <w:bookmarkStart w:id="123" w:name="_Ref136287767"/>
      <w:bookmarkStart w:id="124" w:name="_Toc142556232"/>
      <w:bookmarkStart w:id="125" w:name="nt_17"/>
      <w:r w:rsidRPr="0039509F">
        <w:rPr>
          <w:rFonts w:asciiTheme="majorHAnsi" w:hAnsiTheme="majorHAnsi" w:cstheme="majorHAnsi"/>
          <w:szCs w:val="24"/>
          <w:lang w:eastAsia="pt-BR"/>
        </w:rPr>
        <w:t>DEFINIÇÃO DO PERCENTUAL DE CAPITAL OU PATRIMÔNIO LÍQUIDO MÍNIMO</w:t>
      </w:r>
      <w:bookmarkEnd w:id="123"/>
      <w:bookmarkEnd w:id="124"/>
    </w:p>
    <w:bookmarkEnd w:id="125"/>
    <w:p w14:paraId="6D0F82F8" w14:textId="735CE1FB" w:rsidR="00B403B1" w:rsidRPr="0039509F" w:rsidRDefault="00347285" w:rsidP="0039509F">
      <w:pPr>
        <w:pStyle w:val="ApTexto"/>
        <w:spacing w:before="0" w:after="360"/>
        <w:rPr>
          <w:lang w:eastAsia="ar-SA"/>
        </w:rPr>
      </w:pPr>
      <w:r>
        <w:rPr>
          <w:lang w:eastAsia="ar-SA"/>
        </w:rPr>
        <w:t xml:space="preserve">No âmbito da União, </w:t>
      </w:r>
      <w:r w:rsidR="009320E7">
        <w:rPr>
          <w:lang w:eastAsia="ar-SA"/>
        </w:rPr>
        <w:t>o</w:t>
      </w:r>
      <w:r w:rsidR="38D6C309" w:rsidRPr="0039509F">
        <w:rPr>
          <w:lang w:eastAsia="ar-SA"/>
        </w:rPr>
        <w:t xml:space="preserve"> art. 22 da Instrução Normativa SEGES/MPDG n</w:t>
      </w:r>
      <w:r w:rsidR="02896E0C" w:rsidRPr="0039509F">
        <w:rPr>
          <w:lang w:eastAsia="ar-SA"/>
        </w:rPr>
        <w:t>.</w:t>
      </w:r>
      <w:r w:rsidR="38D6C309" w:rsidRPr="0039509F">
        <w:rPr>
          <w:lang w:eastAsia="ar-SA"/>
        </w:rPr>
        <w:t xml:space="preserve"> 3, de 2018, estabelece que a comprovação da situação financeira das empresas será constatada mediante obtenção de índices de Liquidez Geral (LG), Solvência Geral (SG) e Liquidez Corrente (LC). </w:t>
      </w:r>
    </w:p>
    <w:p w14:paraId="07206280" w14:textId="796F85AA" w:rsidR="00B403B1" w:rsidRPr="0039509F" w:rsidRDefault="38D6C309" w:rsidP="0039509F">
      <w:pPr>
        <w:pStyle w:val="ApTexto"/>
        <w:spacing w:before="0" w:after="360"/>
        <w:rPr>
          <w:lang w:eastAsia="ar-SA"/>
        </w:rPr>
      </w:pPr>
      <w:r w:rsidRPr="0039509F">
        <w:rPr>
          <w:lang w:eastAsia="ar-SA"/>
        </w:rPr>
        <w:t>Quando essas empresas apresentarem resultado igual ou menor que 1 (um), em qualquer dos índices, o art. 24 da Instrução Normativa determina que elas deverão comprovar, considerados os riscos para a Administração, o capital mínimo ou o patrimônio líquido mínimo, na forma dos §§ 2º e 3º do art. 31 da Lei n</w:t>
      </w:r>
      <w:r w:rsidR="28AF7204" w:rsidRPr="0039509F">
        <w:rPr>
          <w:lang w:eastAsia="ar-SA"/>
        </w:rPr>
        <w:t>.</w:t>
      </w:r>
      <w:r w:rsidRPr="0039509F">
        <w:rPr>
          <w:lang w:eastAsia="ar-SA"/>
        </w:rPr>
        <w:t xml:space="preserve"> 8.666, de 1993, como exigência para sua habilitação.</w:t>
      </w:r>
    </w:p>
    <w:p w14:paraId="006F8C77" w14:textId="15E23CB4" w:rsidR="00B403B1" w:rsidRPr="0039509F" w:rsidRDefault="38D6C309" w:rsidP="0039509F">
      <w:pPr>
        <w:pStyle w:val="ApTexto"/>
        <w:spacing w:before="0" w:after="360"/>
        <w:rPr>
          <w:lang w:eastAsia="ar-SA"/>
        </w:rPr>
      </w:pPr>
      <w:r w:rsidRPr="0039509F">
        <w:rPr>
          <w:lang w:eastAsia="ar-SA"/>
        </w:rPr>
        <w:t>Os §§2º e 3º do art. 31 da Lei n</w:t>
      </w:r>
      <w:r w:rsidR="73512D34" w:rsidRPr="0039509F">
        <w:rPr>
          <w:lang w:eastAsia="ar-SA"/>
        </w:rPr>
        <w:t>.</w:t>
      </w:r>
      <w:r w:rsidRPr="0039509F">
        <w:rPr>
          <w:lang w:eastAsia="ar-SA"/>
        </w:rPr>
        <w:t xml:space="preserve"> 8.666, de 1993, correspondem ao §4º do art. 69 da Lei n</w:t>
      </w:r>
      <w:r w:rsidR="05113F01" w:rsidRPr="0039509F">
        <w:rPr>
          <w:lang w:eastAsia="ar-SA"/>
        </w:rPr>
        <w:t>.</w:t>
      </w:r>
      <w:r w:rsidRPr="0039509F">
        <w:rPr>
          <w:lang w:eastAsia="ar-SA"/>
        </w:rPr>
        <w:t xml:space="preserve"> 14.133, de 2021, que possibilita à Administração, nas compras para entrega futura e na execução de obras e serviços, a fixação no edital de exigência de capital mínimo ou de patrimônio líquido mínimo equivalente a até 10% (dez por cento) do valor estimado da contratação.</w:t>
      </w:r>
    </w:p>
    <w:p w14:paraId="526C5B0A" w14:textId="77777777" w:rsidR="00B403B1" w:rsidRDefault="00B403B1" w:rsidP="0039509F">
      <w:pPr>
        <w:pStyle w:val="ApTexto"/>
        <w:spacing w:before="0" w:after="360"/>
        <w:rPr>
          <w:lang w:eastAsia="ar-SA"/>
        </w:rPr>
      </w:pPr>
      <w:r w:rsidRPr="0039509F">
        <w:rPr>
          <w:lang w:eastAsia="ar-SA"/>
        </w:rPr>
        <w:t>A fixação do percentual se insere na esfera de atuação discricionária da Administração até o limite legal de 10% (dez por cento), a qual deve balizar-se em critérios técnicos. A sondagem do mercado se afigura importante, a fim de obter dados sobre o porte das empresas que atuam na área objeto da contratação. Ressalte-se que, se o referido percentual for fixado em seu mais alto patamar e o valor total estimado da contratação também for significativo, trará como consequência a necessidade de comprovação de patrimônio líquido elevado, o que poderá resultar na restrição à participação de interessados no certame, em especial, de microempresas ou empresas de pequeno porte, podendo ferir o princípio constitucional de incentivo a essas unidades empresariais. Por essa razão, é indispensável avaliação técnica sobre o assunto.</w:t>
      </w:r>
    </w:p>
    <w:p w14:paraId="7A664848" w14:textId="2C638F1C" w:rsidR="002106CD" w:rsidRPr="0039509F" w:rsidRDefault="001E704A" w:rsidP="0039509F">
      <w:pPr>
        <w:pStyle w:val="ApTexto"/>
        <w:spacing w:before="0" w:after="360"/>
        <w:rPr>
          <w:lang w:eastAsia="ar-SA"/>
        </w:rPr>
      </w:pPr>
      <w:hyperlink w:anchor="nt_17_retorno" w:history="1">
        <w:r w:rsidR="00A93963" w:rsidRPr="00A93963">
          <w:rPr>
            <w:rStyle w:val="Hyperlink"/>
          </w:rPr>
          <w:t>Voltar ao preenchimento</w:t>
        </w:r>
      </w:hyperlink>
    </w:p>
    <w:p w14:paraId="21ED761D" w14:textId="3B278E55" w:rsidR="00B403B1" w:rsidRPr="002337EA" w:rsidRDefault="009D6565" w:rsidP="002337EA">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126" w:name="_Ref136288456"/>
      <w:bookmarkStart w:id="127" w:name="_Toc142556233"/>
      <w:bookmarkStart w:id="128" w:name="nt_18"/>
      <w:r w:rsidRPr="002337EA">
        <w:rPr>
          <w:rFonts w:asciiTheme="majorHAnsi" w:hAnsiTheme="majorHAnsi" w:cstheme="majorHAnsi"/>
          <w:color w:val="auto"/>
          <w:szCs w:val="24"/>
        </w:rPr>
        <w:t>PARTICIPAÇÃO DE CONSÓRCIOS</w:t>
      </w:r>
      <w:bookmarkEnd w:id="126"/>
      <w:bookmarkEnd w:id="127"/>
    </w:p>
    <w:bookmarkEnd w:id="128"/>
    <w:p w14:paraId="2DD8EF8F" w14:textId="233F757F" w:rsidR="00B403B1" w:rsidRPr="0039509F" w:rsidRDefault="38D6C309" w:rsidP="0039509F">
      <w:pPr>
        <w:pStyle w:val="ApTexto"/>
        <w:spacing w:before="0" w:after="360"/>
        <w:rPr>
          <w:lang w:eastAsia="ar-SA"/>
        </w:rPr>
      </w:pPr>
      <w:r w:rsidRPr="0039509F">
        <w:rPr>
          <w:lang w:eastAsia="ar-SA"/>
        </w:rPr>
        <w:t>A vedação de participação no processo licitatório de pessoas jurídicas reunidas em consórcio é medida excepcional e a adoção dessa restrição está condicionada à apresentação de justificativa pela área técnica do órgão assessorado, nos termos do art. 15, caput, da Lei n</w:t>
      </w:r>
      <w:r w:rsidR="3F6B5B05" w:rsidRPr="0039509F">
        <w:rPr>
          <w:lang w:eastAsia="ar-SA"/>
        </w:rPr>
        <w:t>.</w:t>
      </w:r>
      <w:r w:rsidRPr="0039509F">
        <w:rPr>
          <w:lang w:eastAsia="ar-SA"/>
        </w:rPr>
        <w:t xml:space="preserve"> 14.133, de 2021.</w:t>
      </w:r>
    </w:p>
    <w:p w14:paraId="766AFD30" w14:textId="548B5424" w:rsidR="00B403B1" w:rsidRPr="009C0AB2" w:rsidRDefault="38D6C309" w:rsidP="00F06830">
      <w:pPr>
        <w:pStyle w:val="ApTexto"/>
        <w:spacing w:before="0" w:after="360"/>
        <w:rPr>
          <w:lang w:eastAsia="ar-SA"/>
        </w:rPr>
      </w:pPr>
      <w:r w:rsidRPr="0039509F">
        <w:rPr>
          <w:lang w:eastAsia="ar-SA"/>
        </w:rPr>
        <w:t xml:space="preserve">Tal justificativa deve basear-se na análise individualizada do caso concreto, conforme orientações do TCU: “Deve-se analisar com a profundidade que cada empreendimento estará a requerer, por exemplo, o risco à competitividade, as dificuldades de </w:t>
      </w:r>
      <w:r w:rsidRPr="0039509F">
        <w:rPr>
          <w:lang w:eastAsia="ar-SA"/>
        </w:rPr>
        <w:lastRenderedPageBreak/>
        <w:t xml:space="preserve">gestão da obra, a capacitação técnica dos participantes, fatos estes que poderão gerar atraso nas obras como um todo, implicando em grandes prejuízos ao Erário. Outros aspectos deverão dimensionar a complexidade do empreendimento, os riscos de contratação de empresas sem qualificação para a assunção de encargos além de suas respectivas capacidades técnica, operacional ou econômico-financeira, todos esses fatores que estarão a sopesar a decisão que </w:t>
      </w:r>
      <w:r w:rsidRPr="009C0AB2">
        <w:rPr>
          <w:lang w:eastAsia="ar-SA"/>
        </w:rPr>
        <w:t>deverá ser tomada pelo gestor.” (Acórdão n</w:t>
      </w:r>
      <w:r w:rsidR="0DFDA453" w:rsidRPr="009C0AB2">
        <w:rPr>
          <w:lang w:eastAsia="ar-SA"/>
        </w:rPr>
        <w:t>.</w:t>
      </w:r>
      <w:r w:rsidRPr="009C0AB2">
        <w:rPr>
          <w:lang w:eastAsia="ar-SA"/>
        </w:rPr>
        <w:t xml:space="preserve"> 1.165/2012 – Plenário).</w:t>
      </w:r>
    </w:p>
    <w:p w14:paraId="2787691F" w14:textId="0F072154" w:rsidR="00F06830" w:rsidRPr="009C0AB2" w:rsidRDefault="00F06830" w:rsidP="00F06830">
      <w:pPr>
        <w:spacing w:after="360" w:line="240" w:lineRule="auto"/>
        <w:ind w:firstLine="708"/>
        <w:jc w:val="both"/>
        <w:rPr>
          <w:rFonts w:asciiTheme="majorHAnsi" w:hAnsiTheme="majorHAnsi" w:cstheme="majorHAnsi"/>
          <w:i/>
          <w:color w:val="000000" w:themeColor="text1"/>
          <w:sz w:val="24"/>
          <w:szCs w:val="24"/>
        </w:rPr>
      </w:pPr>
      <w:r w:rsidRPr="009C0AB2">
        <w:rPr>
          <w:rFonts w:asciiTheme="majorHAnsi" w:hAnsiTheme="majorHAnsi" w:cstheme="majorHAnsi"/>
          <w:i/>
          <w:color w:val="000000" w:themeColor="text1"/>
          <w:sz w:val="24"/>
          <w:szCs w:val="24"/>
        </w:rPr>
        <w:t xml:space="preserve">O Tribunal de Contas da União – TCU - entende que o juízo acerca da admissão ou não de empresas consorciadas na licitação dependerá de cada caso concreto. Isto porque a formação de consórcio tanto pode se prestar a fomentar a concorrência (consórcio de empresas menores que, de outra forma, não participariam do certame), quanto a cerceá-la (associação de empresas que, caso contrário, concorreriam entre si). </w:t>
      </w:r>
    </w:p>
    <w:p w14:paraId="61FF8C69" w14:textId="615CC37F" w:rsidR="00F06830" w:rsidRPr="009C0AB2" w:rsidRDefault="00F06830" w:rsidP="00F06830">
      <w:pPr>
        <w:spacing w:after="360" w:line="240" w:lineRule="auto"/>
        <w:ind w:firstLine="708"/>
        <w:jc w:val="both"/>
        <w:rPr>
          <w:rFonts w:asciiTheme="majorHAnsi" w:hAnsiTheme="majorHAnsi" w:cstheme="majorHAnsi"/>
          <w:i/>
          <w:color w:val="000000" w:themeColor="text1"/>
          <w:sz w:val="24"/>
          <w:szCs w:val="24"/>
        </w:rPr>
      </w:pPr>
      <w:r w:rsidRPr="009C0AB2">
        <w:rPr>
          <w:rFonts w:asciiTheme="majorHAnsi" w:hAnsiTheme="majorHAnsi" w:cstheme="majorHAnsi"/>
          <w:i/>
          <w:color w:val="000000" w:themeColor="text1"/>
          <w:sz w:val="24"/>
          <w:szCs w:val="24"/>
        </w:rPr>
        <w:t xml:space="preserve">Compulsando diversos julgados daquela Corte de Contas a respeito desse tema, notadamente os Acórdãos nº 22/2003 – Plenário; nº 1.094/2004 – Plenário e nº 2.295/2005 – Plenário, chega-se às seguintes conclusões que servem de norte para a admissão ou não da participação de empresas reunidas em consórcio: </w:t>
      </w:r>
    </w:p>
    <w:p w14:paraId="430F9E15" w14:textId="77777777" w:rsidR="00F06830" w:rsidRPr="009C0AB2" w:rsidRDefault="00F06830" w:rsidP="00F06830">
      <w:pPr>
        <w:spacing w:after="360" w:line="240" w:lineRule="auto"/>
        <w:ind w:left="851"/>
        <w:jc w:val="both"/>
        <w:rPr>
          <w:rFonts w:asciiTheme="majorHAnsi" w:hAnsiTheme="majorHAnsi" w:cstheme="majorHAnsi"/>
          <w:i/>
          <w:color w:val="000000" w:themeColor="text1"/>
          <w:sz w:val="24"/>
          <w:szCs w:val="24"/>
        </w:rPr>
      </w:pPr>
      <w:r w:rsidRPr="009C0AB2">
        <w:rPr>
          <w:rFonts w:asciiTheme="majorHAnsi" w:hAnsiTheme="majorHAnsi" w:cstheme="majorHAnsi"/>
          <w:i/>
          <w:color w:val="000000" w:themeColor="text1"/>
          <w:sz w:val="24"/>
          <w:szCs w:val="24"/>
        </w:rPr>
        <w:t xml:space="preserve">1. A escolha no sentido de admitir, ou não, a participação de empresas organizadas em consórcio deve ser verificada caso a caso; </w:t>
      </w:r>
    </w:p>
    <w:p w14:paraId="5E1C5C02" w14:textId="77777777" w:rsidR="00F06830" w:rsidRPr="009C0AB2" w:rsidRDefault="00F06830" w:rsidP="00F06830">
      <w:pPr>
        <w:spacing w:after="360" w:line="240" w:lineRule="auto"/>
        <w:ind w:left="851"/>
        <w:jc w:val="both"/>
        <w:rPr>
          <w:rFonts w:asciiTheme="majorHAnsi" w:hAnsiTheme="majorHAnsi" w:cstheme="majorHAnsi"/>
          <w:i/>
          <w:color w:val="000000" w:themeColor="text1"/>
          <w:sz w:val="24"/>
          <w:szCs w:val="24"/>
        </w:rPr>
      </w:pPr>
      <w:r w:rsidRPr="009C0AB2">
        <w:rPr>
          <w:rFonts w:asciiTheme="majorHAnsi" w:hAnsiTheme="majorHAnsi" w:cstheme="majorHAnsi"/>
          <w:i/>
          <w:color w:val="000000" w:themeColor="text1"/>
          <w:sz w:val="24"/>
          <w:szCs w:val="24"/>
        </w:rPr>
        <w:t>2. Tratando-se de objeto de pequeno vulto financeiro e baixa complexidade, a formação de consórcio pode ensejar redução no caráter competitivo, pois facilitaria que empresas, que seriam naturalmente competidoras entre si, acordassem para participar da licitação;</w:t>
      </w:r>
    </w:p>
    <w:p w14:paraId="5EBCE84E" w14:textId="77777777" w:rsidR="00F06830" w:rsidRPr="009C0AB2" w:rsidRDefault="00F06830" w:rsidP="00F06830">
      <w:pPr>
        <w:spacing w:after="360" w:line="240" w:lineRule="auto"/>
        <w:ind w:left="851"/>
        <w:jc w:val="both"/>
        <w:rPr>
          <w:rFonts w:asciiTheme="majorHAnsi" w:hAnsiTheme="majorHAnsi" w:cstheme="majorHAnsi"/>
          <w:i/>
          <w:color w:val="000000" w:themeColor="text1"/>
          <w:sz w:val="24"/>
          <w:szCs w:val="24"/>
        </w:rPr>
      </w:pPr>
      <w:r w:rsidRPr="009C0AB2">
        <w:rPr>
          <w:rFonts w:asciiTheme="majorHAnsi" w:hAnsiTheme="majorHAnsi" w:cstheme="majorHAnsi"/>
          <w:i/>
          <w:color w:val="000000" w:themeColor="text1"/>
          <w:sz w:val="24"/>
          <w:szCs w:val="24"/>
        </w:rPr>
        <w:t xml:space="preserve">3. A participação de consórcios, dada a transitoriedade que lhe é peculiar, mostra-se mais apropriada para a consecução de objeto certo e determinado no tempo, que envolva alta complexidade técnica e grande vulto financeiro, de forma que as empresas, isoladamente, não teriam capacidade técnica de executá-lo, a exemplo das grandes obras que demandam tecnologia sofisticada e restrita. </w:t>
      </w:r>
    </w:p>
    <w:p w14:paraId="59613675" w14:textId="317BE714" w:rsidR="002106CD" w:rsidRPr="0039509F" w:rsidRDefault="001E704A" w:rsidP="0039509F">
      <w:pPr>
        <w:pStyle w:val="ApTexto"/>
        <w:spacing w:before="0" w:after="360"/>
        <w:rPr>
          <w:lang w:eastAsia="ar-SA"/>
        </w:rPr>
      </w:pPr>
      <w:hyperlink w:anchor="nt_18_retorno" w:history="1">
        <w:r w:rsidR="00A93963" w:rsidRPr="00A93963">
          <w:rPr>
            <w:rStyle w:val="Hyperlink"/>
          </w:rPr>
          <w:t>Voltar ao preenchimento</w:t>
        </w:r>
      </w:hyperlink>
    </w:p>
    <w:p w14:paraId="5F7FEC7F" w14:textId="4BA9C140" w:rsidR="0554D60B" w:rsidRPr="002337EA" w:rsidRDefault="009D6565" w:rsidP="002337EA">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129" w:name="_Ref136288649"/>
      <w:bookmarkStart w:id="130" w:name="_Toc142556234"/>
      <w:bookmarkStart w:id="131" w:name="nt_19"/>
      <w:r w:rsidRPr="002337EA">
        <w:rPr>
          <w:rFonts w:asciiTheme="majorHAnsi" w:hAnsiTheme="majorHAnsi" w:cstheme="majorHAnsi"/>
          <w:color w:val="auto"/>
          <w:szCs w:val="24"/>
        </w:rPr>
        <w:t>PARTICIPAÇÃO DE COOPERATIVAS</w:t>
      </w:r>
      <w:bookmarkEnd w:id="129"/>
      <w:bookmarkEnd w:id="130"/>
    </w:p>
    <w:bookmarkEnd w:id="131"/>
    <w:p w14:paraId="4F840880" w14:textId="0027BC1A" w:rsidR="0554D60B" w:rsidRPr="0039509F" w:rsidRDefault="69705BF7" w:rsidP="0039509F">
      <w:pPr>
        <w:pStyle w:val="ApTexto"/>
        <w:spacing w:before="0" w:after="360"/>
        <w:rPr>
          <w:lang w:eastAsia="ar-SA"/>
        </w:rPr>
      </w:pPr>
      <w:r w:rsidRPr="00B105EE">
        <w:rPr>
          <w:lang w:eastAsia="ar-SA"/>
        </w:rPr>
        <w:t>A participação de cooperativas em certames licitatórios é admitida quando atendidos os requisitos previstos no</w:t>
      </w:r>
      <w:r w:rsidR="445A2ED0" w:rsidRPr="0039509F">
        <w:rPr>
          <w:lang w:eastAsia="ar-SA"/>
        </w:rPr>
        <w:t>s incisos I a IV do</w:t>
      </w:r>
      <w:r w:rsidRPr="00B105EE">
        <w:rPr>
          <w:lang w:eastAsia="ar-SA"/>
        </w:rPr>
        <w:t xml:space="preserve"> art. 16 da Lei n</w:t>
      </w:r>
      <w:r w:rsidR="2249D069" w:rsidRPr="0039509F">
        <w:rPr>
          <w:lang w:eastAsia="ar-SA"/>
        </w:rPr>
        <w:t>.</w:t>
      </w:r>
      <w:r w:rsidRPr="00B105EE">
        <w:rPr>
          <w:lang w:eastAsia="ar-SA"/>
        </w:rPr>
        <w:t xml:space="preserve"> 14.133</w:t>
      </w:r>
      <w:r w:rsidR="15B955D4" w:rsidRPr="0039509F">
        <w:rPr>
          <w:lang w:eastAsia="ar-SA"/>
        </w:rPr>
        <w:t>, de 20</w:t>
      </w:r>
      <w:r w:rsidRPr="00B105EE">
        <w:rPr>
          <w:lang w:eastAsia="ar-SA"/>
        </w:rPr>
        <w:t>21</w:t>
      </w:r>
      <w:r w:rsidR="056217CB" w:rsidRPr="0039509F">
        <w:rPr>
          <w:lang w:eastAsia="ar-SA"/>
        </w:rPr>
        <w:t>.</w:t>
      </w:r>
    </w:p>
    <w:p w14:paraId="2AC454BD" w14:textId="360AEAFF" w:rsidR="00B403B1" w:rsidRPr="0039509F" w:rsidRDefault="38D6C309" w:rsidP="0039509F">
      <w:pPr>
        <w:pStyle w:val="ApTexto"/>
        <w:spacing w:before="0" w:after="360"/>
        <w:rPr>
          <w:lang w:eastAsia="ar-SA"/>
        </w:rPr>
      </w:pPr>
      <w:r w:rsidRPr="0039509F">
        <w:rPr>
          <w:lang w:eastAsia="ar-SA"/>
        </w:rPr>
        <w:t>O órgão licitante deve analisar com cautela as características do serviço que pretende contratar, especialmente quanto às diversas obrigações dos trabalhadores que executarão os serviços, para verificar se, no caso concreto, as tarefas seriam passíveis de execução com autonomia pelos cooperados, sem relação de subordinação, seja entre a cooperativa e os cooperados, seja entre estes e a Administração.</w:t>
      </w:r>
    </w:p>
    <w:p w14:paraId="48F3B153" w14:textId="77777777" w:rsidR="00B403B1" w:rsidRPr="0039509F" w:rsidRDefault="00B403B1" w:rsidP="0039509F">
      <w:pPr>
        <w:pStyle w:val="ApTexto"/>
        <w:spacing w:before="0" w:after="360"/>
        <w:rPr>
          <w:lang w:eastAsia="ar-SA"/>
        </w:rPr>
      </w:pPr>
      <w:r w:rsidRPr="0039509F">
        <w:rPr>
          <w:lang w:eastAsia="ar-SA"/>
        </w:rPr>
        <w:lastRenderedPageBreak/>
        <w:t>Segundo a Súmula 281 do TCU: É vedada a participação de cooperativas em licitação quando, pela natureza do serviço ou pelo modo como é usualmente executado no mercado em geral, houver necessidade de subordinação jurídica entre o obreiro e o contratado, bem como de pessoalidade e habitualidade.</w:t>
      </w:r>
    </w:p>
    <w:p w14:paraId="47E69A40" w14:textId="77777777" w:rsidR="00B403B1" w:rsidRPr="0039509F" w:rsidRDefault="00B403B1" w:rsidP="0039509F">
      <w:pPr>
        <w:pStyle w:val="ApTexto"/>
        <w:spacing w:before="0" w:after="360"/>
        <w:rPr>
          <w:lang w:eastAsia="ar-SA"/>
        </w:rPr>
      </w:pPr>
      <w:r w:rsidRPr="0039509F">
        <w:rPr>
          <w:lang w:eastAsia="ar-SA"/>
        </w:rPr>
        <w:t>De igual modo, o Parecer n. 096/2015/DECOR/CGU/AGU (00407.004648/2014-96, Seq. 14) tem a seguinte ementa:</w:t>
      </w:r>
    </w:p>
    <w:p w14:paraId="74B86A5B" w14:textId="77777777" w:rsidR="00B403B1" w:rsidRPr="002106CD" w:rsidRDefault="00B403B1" w:rsidP="002106CD">
      <w:pPr>
        <w:pStyle w:val="ApCitao"/>
        <w:spacing w:before="0" w:after="360"/>
        <w:ind w:left="2552" w:firstLine="0"/>
        <w:rPr>
          <w:sz w:val="22"/>
          <w:szCs w:val="22"/>
        </w:rPr>
      </w:pPr>
      <w:r w:rsidRPr="002106CD">
        <w:rPr>
          <w:sz w:val="22"/>
          <w:szCs w:val="22"/>
        </w:rPr>
        <w:t>DIREITO ADMINISTRATIVO E DIREITO DO TRABALHO. DIVERGÊNCIA CARACTERIZADA ENTRE A PROCURADORIA-GERAL FEDERAL E A PROCURADORIA-GERAL DA UNIÃO – RESTA INCÓLUME O TERMO DE CONCILIAÇÃO JUDICIAL FIRMADO ENTRE O MINISTÉRIO PÚBLICO DO TRABALHO E A UNIÃO, QUE TRATA DA VEDAÇÃO DA CONTRATAÇÃO DE COOPERATIVAS DE TRABALHO PARA EXECUÇÃO DE DETERMINADOS SERVIÇOS TERCEIRIZADOS, MESMO DIANTE DA SUPERVENIÊNCIA DAS LEIS Nº 12.690, DE 2012, E Nº 12.349, DE 2010 – SERVIÇOS OBJETO DO TERMO QUE, POR SUA NATUREZA, CARACTERIZAM-SE PELA EXECUÇÃO MEDIANTE VÍNCULO EMPREGATÍCIO, COM SUBORDINAÇÃO, PESSOALIDADE, ONEROSIDADE E HABITUALIDADE.</w:t>
      </w:r>
    </w:p>
    <w:p w14:paraId="61D50E7B" w14:textId="77777777" w:rsidR="00B403B1" w:rsidRPr="002106CD" w:rsidRDefault="00B403B1" w:rsidP="002106CD">
      <w:pPr>
        <w:pStyle w:val="ApCitao"/>
        <w:spacing w:before="0" w:after="360"/>
        <w:ind w:left="2552" w:firstLine="0"/>
        <w:rPr>
          <w:sz w:val="22"/>
          <w:szCs w:val="22"/>
        </w:rPr>
      </w:pPr>
      <w:r w:rsidRPr="002106CD">
        <w:rPr>
          <w:sz w:val="22"/>
          <w:szCs w:val="22"/>
        </w:rPr>
        <w:t>I – As Cooperativas de Trabalho, na forma da Lei nº 12.690, de 2012, são sociedades constituídas para o exercício de atividades laborais em proveito comum, com autonomia coletiva e coordenada, mediante autogestão e adesão voluntária e livre.</w:t>
      </w:r>
    </w:p>
    <w:p w14:paraId="45997467" w14:textId="77777777" w:rsidR="00B403B1" w:rsidRPr="002106CD" w:rsidRDefault="00B403B1" w:rsidP="002106CD">
      <w:pPr>
        <w:pStyle w:val="ApCitao"/>
        <w:spacing w:before="0" w:after="360"/>
        <w:ind w:left="2552" w:firstLine="0"/>
        <w:rPr>
          <w:sz w:val="22"/>
          <w:szCs w:val="22"/>
        </w:rPr>
      </w:pPr>
      <w:r w:rsidRPr="002106CD">
        <w:rPr>
          <w:sz w:val="22"/>
          <w:szCs w:val="22"/>
        </w:rPr>
        <w:t>II - Os serviços abrangidos pelo termo de conciliação judicial firmado entre a União e o Ministério Público do Trabalho se caracterizam pela pessoalidade, subordinação e não eventualidade.</w:t>
      </w:r>
    </w:p>
    <w:p w14:paraId="2B136697" w14:textId="77777777" w:rsidR="00B403B1" w:rsidRPr="002106CD" w:rsidRDefault="00B403B1" w:rsidP="002106CD">
      <w:pPr>
        <w:pStyle w:val="ApCitao"/>
        <w:spacing w:before="0" w:after="360"/>
        <w:ind w:left="2552" w:firstLine="0"/>
        <w:rPr>
          <w:sz w:val="22"/>
          <w:szCs w:val="22"/>
        </w:rPr>
      </w:pPr>
      <w:r w:rsidRPr="002106CD">
        <w:rPr>
          <w:sz w:val="22"/>
          <w:szCs w:val="22"/>
        </w:rPr>
        <w:t>III – Vedação à participação de cooperativas nos certames afetos a aludidos serviços que não ofende às Leis nº 12.690, de 2012, e nº 12.349, de 2010, uma vez que são admitidas apenas, e obviamente, a participação de verdadeiras cooperativas nas licitações, proibindo-se expressamente a utilização de cooperativa para fins de intermediação de mão de obra subordinada.</w:t>
      </w:r>
    </w:p>
    <w:p w14:paraId="2E7D0D6F" w14:textId="3BC99E55" w:rsidR="0554D60B" w:rsidRPr="002106CD" w:rsidRDefault="00B403B1" w:rsidP="002106CD">
      <w:pPr>
        <w:pStyle w:val="ApCitao"/>
        <w:spacing w:before="0" w:after="360"/>
        <w:ind w:left="2552" w:firstLine="0"/>
        <w:rPr>
          <w:sz w:val="22"/>
          <w:szCs w:val="22"/>
        </w:rPr>
      </w:pPr>
      <w:r w:rsidRPr="002106CD">
        <w:rPr>
          <w:sz w:val="22"/>
          <w:szCs w:val="22"/>
        </w:rPr>
        <w:t>IV – Proscrição que se volta para proteger os valores sociais do trabalho e prevenir a responsabilização da União por encargos trabalhistas.</w:t>
      </w:r>
    </w:p>
    <w:p w14:paraId="2239239E" w14:textId="21417257" w:rsidR="0554D60B" w:rsidRPr="002106CD" w:rsidRDefault="294F7FE1" w:rsidP="00B105EE">
      <w:pPr>
        <w:pStyle w:val="ApTexto"/>
        <w:spacing w:before="0" w:after="360"/>
        <w:rPr>
          <w:lang w:eastAsia="ar-SA"/>
        </w:rPr>
      </w:pPr>
      <w:r w:rsidRPr="00B105EE">
        <w:rPr>
          <w:lang w:eastAsia="ar-SA"/>
        </w:rPr>
        <w:t>Por meio do Parecer n. 00002/2023/DECOR/CGU/AGU, o Departamento de Coordenação e Orientação de Órgãos Jurídicos da Advocacia-Geral da União (</w:t>
      </w:r>
      <w:proofErr w:type="spellStart"/>
      <w:r w:rsidRPr="00B105EE">
        <w:rPr>
          <w:lang w:eastAsia="ar-SA"/>
        </w:rPr>
        <w:t>Decor</w:t>
      </w:r>
      <w:proofErr w:type="spellEnd"/>
      <w:r w:rsidRPr="00B105EE">
        <w:rPr>
          <w:lang w:eastAsia="ar-SA"/>
        </w:rPr>
        <w:t>/CGU/AGU), considerou que se mantém na Lei n</w:t>
      </w:r>
      <w:r w:rsidR="45143B3B" w:rsidRPr="0039509F">
        <w:rPr>
          <w:lang w:eastAsia="ar-SA"/>
        </w:rPr>
        <w:t>.</w:t>
      </w:r>
      <w:r w:rsidRPr="00B105EE">
        <w:rPr>
          <w:lang w:eastAsia="ar-SA"/>
        </w:rPr>
        <w:t xml:space="preserve"> 14.133</w:t>
      </w:r>
      <w:r w:rsidR="114349FC" w:rsidRPr="0039509F">
        <w:rPr>
          <w:lang w:eastAsia="ar-SA"/>
        </w:rPr>
        <w:t>, de 20</w:t>
      </w:r>
      <w:r w:rsidRPr="00B105EE">
        <w:rPr>
          <w:lang w:eastAsia="ar-SA"/>
        </w:rPr>
        <w:t>21</w:t>
      </w:r>
      <w:r w:rsidR="77B01708" w:rsidRPr="0039509F">
        <w:rPr>
          <w:lang w:eastAsia="ar-SA"/>
        </w:rPr>
        <w:t>,</w:t>
      </w:r>
      <w:r w:rsidRPr="00B105EE">
        <w:rPr>
          <w:lang w:eastAsia="ar-SA"/>
        </w:rPr>
        <w:t xml:space="preserve"> a proibição de contratação de cooperativas quando o objeto do contrato exija relação de subordinação entre os cooperados e a cooperativa ou entre aqueles e o tomador de serviços, conforme Ementa abaixo: </w:t>
      </w:r>
    </w:p>
    <w:p w14:paraId="045791B9" w14:textId="67FD6D07" w:rsidR="0554D60B" w:rsidRPr="00B105EE" w:rsidRDefault="7A3BCDAB" w:rsidP="00B105EE">
      <w:pPr>
        <w:pStyle w:val="ApCitao"/>
        <w:spacing w:before="0" w:after="360"/>
        <w:ind w:left="2552" w:firstLine="0"/>
      </w:pPr>
      <w:r w:rsidRPr="00B105EE">
        <w:rPr>
          <w:sz w:val="22"/>
          <w:szCs w:val="22"/>
        </w:rPr>
        <w:t xml:space="preserve">EMENTA: LICITAÇÕES E CONTRATOS. SOCIEDADES COOPERATIVAS. POSSIBILIDADE DE PARTICIPAÇÃO EM LICITAÇÕES. TERCEIRIZAÇÃO. CONTRATAÇÃO DE COOPERATIVAS PARA PRESTAÇÃO DE SERVIÇOS COM </w:t>
      </w:r>
      <w:r w:rsidRPr="00B105EE">
        <w:rPr>
          <w:sz w:val="22"/>
          <w:szCs w:val="22"/>
        </w:rPr>
        <w:lastRenderedPageBreak/>
        <w:t xml:space="preserve">DEDICAÇÃO EXCLUSIVA DE MÃO DE OBRA. ALTERAÇÃO LEGISLATIVA. SUPERVENIÊNCIA DA LEI N. 14.133/2021. EXISTÊNCIA DE TERMO DE CONCILIAÇÃO JUDICIAL NOS AUTOS DE AÇÃO CIVIL PÚBLICA TRABALHISTA. ANÁLISE SOBRE A NECESSIDADE DE REVISÃO/REVOGAÇÃO DOTERMO DE CONCILIAÇÃO. </w:t>
      </w:r>
    </w:p>
    <w:p w14:paraId="41A8790E" w14:textId="08FDD9DA" w:rsidR="0554D60B" w:rsidRPr="00B105EE" w:rsidRDefault="7A3BCDAB" w:rsidP="00B105EE">
      <w:pPr>
        <w:pStyle w:val="ApCitao"/>
        <w:spacing w:before="0" w:after="360"/>
        <w:ind w:left="2552" w:firstLine="0"/>
      </w:pPr>
      <w:r w:rsidRPr="00B105EE">
        <w:rPr>
          <w:sz w:val="22"/>
          <w:szCs w:val="22"/>
        </w:rPr>
        <w:t xml:space="preserve">I - O art. 16 da Lei nº 14.133/2021 deve ser interpretado sistematicamente, e acordo com o arcabouço jurídico que envolve a matéria das Cooperativas, não prejudicando a validade do Termo de Conciliação firmado entre o Ministério Público do Trabalho - MPT e a Advocacia Geral da União - AGU. </w:t>
      </w:r>
    </w:p>
    <w:p w14:paraId="197D89FE" w14:textId="13DBE8D1" w:rsidR="0554D60B" w:rsidRPr="002106CD" w:rsidRDefault="7A3BCDAB" w:rsidP="00B105EE">
      <w:pPr>
        <w:pStyle w:val="ApCitao"/>
        <w:spacing w:before="0" w:after="360"/>
        <w:ind w:left="2552" w:firstLine="0"/>
      </w:pPr>
      <w:r w:rsidRPr="00B105EE">
        <w:rPr>
          <w:sz w:val="22"/>
          <w:szCs w:val="22"/>
        </w:rPr>
        <w:t>II – Mesmo para as licitações sob a égide da Lei nº 14.133/2021, legítimo o entendimento de que a União deve se abster de celebrar contratos administrativos com cooperativas de trabalho nas hipóteses em que a execução dos serviços terceirizados, por sua própria natureza, demande vínculo de emprego dos trabalhadores em relação à contratada.</w:t>
      </w:r>
    </w:p>
    <w:p w14:paraId="77823F6C" w14:textId="77777777" w:rsidR="00B403B1" w:rsidRPr="0039509F" w:rsidRDefault="00B403B1" w:rsidP="0039509F">
      <w:pPr>
        <w:pStyle w:val="ApTexto"/>
        <w:spacing w:before="0" w:after="360"/>
        <w:rPr>
          <w:lang w:eastAsia="ar-SA"/>
        </w:rPr>
      </w:pPr>
      <w:r w:rsidRPr="0039509F">
        <w:rPr>
          <w:lang w:eastAsia="ar-SA"/>
        </w:rPr>
        <w:t xml:space="preserve">Consequentemente, antes de se admitir a participação de cooperativas em uma licitação de obras e serviços de engenharia, é necessário averiguar se há "...necessidade de subordinação jurídica entre o obreiro e o contratado, bem como de pessoalidade e de habitualidade..." na execução do contrato que será celebrado. Portanto, demandando a existência de relação de emprego dos trabalhadores vinculados à execução do ajuste, não será possível a participação de cooperativas no certame. E geralmente consta a previsão de utilização de diversos profissionais que, "...pelo modo como é usualmente executado no mercado em geral...", implica em subordinação jurídica da empresa contratada e dos respectivos trabalhadores. </w:t>
      </w:r>
    </w:p>
    <w:p w14:paraId="5AC80BD7" w14:textId="77777777" w:rsidR="00B403B1" w:rsidRPr="0039509F" w:rsidRDefault="00B403B1" w:rsidP="0039509F">
      <w:pPr>
        <w:pStyle w:val="ApTexto"/>
        <w:spacing w:before="0" w:after="360"/>
        <w:rPr>
          <w:lang w:eastAsia="ar-SA"/>
        </w:rPr>
      </w:pPr>
      <w:r w:rsidRPr="0039509F">
        <w:rPr>
          <w:lang w:eastAsia="ar-SA"/>
        </w:rPr>
        <w:t>Ademais, a participação de cooperativas só deve ser permitida quando a gestão operacional do serviço puder ser executada de forma compartilhada ou em rodízio, pelos próprios cooperados – e os serviços contratados também deverão ser executados obrigatoriamente pelos cooperados, vedada qualquer intermediação ou subcontratação.</w:t>
      </w:r>
    </w:p>
    <w:p w14:paraId="477B2FD1" w14:textId="77777777" w:rsidR="00B403B1" w:rsidRPr="0039509F" w:rsidRDefault="13364496" w:rsidP="0039509F">
      <w:pPr>
        <w:pStyle w:val="ApTexto"/>
        <w:spacing w:before="0" w:after="360"/>
        <w:rPr>
          <w:lang w:eastAsia="ar-SA"/>
        </w:rPr>
      </w:pPr>
      <w:r w:rsidRPr="0039509F">
        <w:rPr>
          <w:lang w:eastAsia="ar-SA"/>
        </w:rPr>
        <w:t>Em caso positivo, a participação de cooperativas será permitida. Do contrário, deve ser vedada a participação de cooperativas no certame.</w:t>
      </w:r>
    </w:p>
    <w:p w14:paraId="00670BEE" w14:textId="13F18AAF" w:rsidR="0554D60B" w:rsidRPr="0039509F" w:rsidRDefault="001E704A" w:rsidP="0039509F">
      <w:pPr>
        <w:pStyle w:val="ApTexto"/>
        <w:spacing w:before="0" w:after="360"/>
        <w:rPr>
          <w:lang w:eastAsia="ar-SA"/>
        </w:rPr>
      </w:pPr>
      <w:hyperlink w:anchor="nt_19_retorno" w:history="1">
        <w:r w:rsidR="00A93963" w:rsidRPr="00A93963">
          <w:rPr>
            <w:rStyle w:val="Hyperlink"/>
          </w:rPr>
          <w:t>Voltar ao preenchimento</w:t>
        </w:r>
      </w:hyperlink>
    </w:p>
    <w:p w14:paraId="65F68D50" w14:textId="2194863D" w:rsidR="0F41E515" w:rsidRPr="002337EA" w:rsidRDefault="00923C34" w:rsidP="002337EA">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132" w:name="_Toc142556235"/>
      <w:bookmarkStart w:id="133" w:name="nt_20"/>
      <w:r w:rsidRPr="002337EA">
        <w:rPr>
          <w:rFonts w:asciiTheme="majorHAnsi" w:hAnsiTheme="majorHAnsi" w:cstheme="majorHAnsi"/>
          <w:color w:val="auto"/>
          <w:szCs w:val="24"/>
        </w:rPr>
        <w:t>GARANTIA D</w:t>
      </w:r>
      <w:r w:rsidR="00E65C7E" w:rsidRPr="002337EA">
        <w:rPr>
          <w:rFonts w:asciiTheme="majorHAnsi" w:hAnsiTheme="majorHAnsi" w:cstheme="majorHAnsi"/>
          <w:color w:val="auto"/>
          <w:szCs w:val="24"/>
        </w:rPr>
        <w:t xml:space="preserve">A </w:t>
      </w:r>
      <w:r w:rsidRPr="002337EA">
        <w:rPr>
          <w:rFonts w:asciiTheme="majorHAnsi" w:hAnsiTheme="majorHAnsi" w:cstheme="majorHAnsi"/>
          <w:color w:val="auto"/>
          <w:szCs w:val="24"/>
        </w:rPr>
        <w:t>EXECUÇÃO</w:t>
      </w:r>
      <w:bookmarkEnd w:id="132"/>
    </w:p>
    <w:bookmarkEnd w:id="133"/>
    <w:p w14:paraId="2747C56F" w14:textId="66CC2E1B" w:rsidR="0F41E515" w:rsidRPr="00B105EE" w:rsidRDefault="7AF53BE6" w:rsidP="00B105EE">
      <w:pPr>
        <w:pStyle w:val="ApTexto"/>
        <w:spacing w:before="0" w:after="360"/>
        <w:rPr>
          <w:lang w:eastAsia="ar-SA"/>
        </w:rPr>
      </w:pPr>
      <w:r w:rsidRPr="00B105EE">
        <w:rPr>
          <w:lang w:eastAsia="ar-SA"/>
        </w:rPr>
        <w:t>Conforme o parâmetro aventado pelo TCU, a garantia deve ser exigida nas contratações de maior valor, envolvendo alta complexidade técnica e riscos financeiros consideráveis (Acórdão n</w:t>
      </w:r>
      <w:r w:rsidR="673EF615" w:rsidRPr="0039509F">
        <w:rPr>
          <w:lang w:eastAsia="ar-SA"/>
        </w:rPr>
        <w:t>.</w:t>
      </w:r>
      <w:r w:rsidRPr="00B105EE">
        <w:rPr>
          <w:lang w:eastAsia="ar-SA"/>
        </w:rPr>
        <w:t xml:space="preserve"> 3.126/2012 – Plenário).</w:t>
      </w:r>
    </w:p>
    <w:p w14:paraId="74031E9B" w14:textId="7B0AE6D8" w:rsidR="0F41E515" w:rsidRPr="00B105EE" w:rsidRDefault="106FD718" w:rsidP="00B105EE">
      <w:pPr>
        <w:pStyle w:val="ApTexto"/>
        <w:spacing w:before="0" w:after="360"/>
        <w:rPr>
          <w:lang w:eastAsia="ar-SA"/>
        </w:rPr>
      </w:pPr>
      <w:r w:rsidRPr="00B105EE">
        <w:rPr>
          <w:lang w:eastAsia="ar-SA"/>
        </w:rPr>
        <w:t xml:space="preserve">Vejamos o alerta de Marçal </w:t>
      </w:r>
      <w:proofErr w:type="spellStart"/>
      <w:r w:rsidRPr="00B105EE">
        <w:rPr>
          <w:lang w:eastAsia="ar-SA"/>
        </w:rPr>
        <w:t>Justen</w:t>
      </w:r>
      <w:proofErr w:type="spellEnd"/>
      <w:r w:rsidRPr="00B105EE">
        <w:rPr>
          <w:lang w:eastAsia="ar-SA"/>
        </w:rPr>
        <w:t xml:space="preserve"> Filho:</w:t>
      </w:r>
    </w:p>
    <w:p w14:paraId="72216699" w14:textId="44AAA22A" w:rsidR="0F41E515" w:rsidRPr="00B105EE" w:rsidRDefault="106FD718" w:rsidP="00B105EE">
      <w:pPr>
        <w:pStyle w:val="ApCitao"/>
        <w:spacing w:before="0" w:after="360"/>
        <w:rPr>
          <w:sz w:val="24"/>
        </w:rPr>
      </w:pPr>
      <w:r w:rsidRPr="00B105EE">
        <w:rPr>
          <w:sz w:val="24"/>
        </w:rPr>
        <w:lastRenderedPageBreak/>
        <w:t>“A Lei remete à discricionariedade da Administração a exigência da garantia. Poderá (deverá) ser exigida apenas nas hipóteses em que se faça necessária. Quando inexistirem riscos de lesão ao interesse estatal, a Administração não precisará impor a prestação de garantia.” (Comentários à Lei de Licitações e Contratos Administrativos, 11ª ed., São Paulo: Dialética, 2005, p. 499)</w:t>
      </w:r>
    </w:p>
    <w:p w14:paraId="646A1DC9" w14:textId="0E925950" w:rsidR="0F41E515" w:rsidRPr="00B105EE" w:rsidRDefault="106FD718" w:rsidP="00B105EE">
      <w:pPr>
        <w:pStyle w:val="ApTexto"/>
        <w:spacing w:before="0" w:after="360"/>
        <w:rPr>
          <w:lang w:eastAsia="ar-SA"/>
        </w:rPr>
      </w:pPr>
      <w:r w:rsidRPr="00B105EE">
        <w:rPr>
          <w:lang w:eastAsia="ar-SA"/>
        </w:rPr>
        <w:t>Assim, a exigência deve ser avaliada em cada caso concreto, com base no grau de risco de prejuízo ao interesse público, frente à particularidade do objeto licitado.</w:t>
      </w:r>
    </w:p>
    <w:p w14:paraId="644C685C" w14:textId="09E28D06" w:rsidR="0F41E515" w:rsidRPr="0039509F" w:rsidRDefault="106FD718" w:rsidP="00B105EE">
      <w:pPr>
        <w:pStyle w:val="ApTexto"/>
        <w:spacing w:before="0" w:after="360"/>
        <w:rPr>
          <w:lang w:eastAsia="ar-SA"/>
        </w:rPr>
      </w:pPr>
      <w:r w:rsidRPr="0039509F">
        <w:rPr>
          <w:lang w:eastAsia="ar-SA"/>
        </w:rPr>
        <w:t>De todo modo, a palavra final sempre cabe à autoridade administrativa – cabendo-lhe justificar sua decisão por exigir ou dispensar a garantia em cada certame, para a adequada instrução processual.</w:t>
      </w:r>
    </w:p>
    <w:p w14:paraId="77EB67F9" w14:textId="42119E32" w:rsidR="0F41E515" w:rsidRPr="00B105EE" w:rsidRDefault="7AF53BE6" w:rsidP="00B105EE">
      <w:pPr>
        <w:pStyle w:val="ApTexto"/>
        <w:spacing w:before="0" w:after="360"/>
        <w:rPr>
          <w:lang w:eastAsia="ar-SA"/>
        </w:rPr>
      </w:pPr>
      <w:r w:rsidRPr="00B105EE">
        <w:rPr>
          <w:lang w:eastAsia="ar-SA"/>
        </w:rPr>
        <w:t>Nos termos do art. 98 da Lei n</w:t>
      </w:r>
      <w:r w:rsidR="0E394989" w:rsidRPr="0039509F">
        <w:rPr>
          <w:lang w:eastAsia="ar-SA"/>
        </w:rPr>
        <w:t>.</w:t>
      </w:r>
      <w:r w:rsidRPr="00B105EE">
        <w:rPr>
          <w:lang w:eastAsia="ar-SA"/>
        </w:rPr>
        <w:t xml:space="preserve"> 14.133</w:t>
      </w:r>
      <w:r w:rsidR="002106CD">
        <w:rPr>
          <w:lang w:eastAsia="ar-SA"/>
        </w:rPr>
        <w:t>, de 20</w:t>
      </w:r>
      <w:r w:rsidRPr="00B105EE">
        <w:rPr>
          <w:lang w:eastAsia="ar-SA"/>
        </w:rPr>
        <w:t>21, a garantia não excederá a 5% (cinco por cento) do valor inicial do contrato, autorizada a majoração desse percentual para até 10% (dez por cento), desde que justificada mediante análise da complexidade técnica e dos riscos envolvidos.</w:t>
      </w:r>
    </w:p>
    <w:p w14:paraId="2C53B014" w14:textId="38EEBC95" w:rsidR="0F41E515" w:rsidRPr="00B105EE" w:rsidRDefault="7AF53BE6" w:rsidP="00B105EE">
      <w:pPr>
        <w:pStyle w:val="ApTexto"/>
        <w:spacing w:before="0" w:after="360"/>
        <w:rPr>
          <w:lang w:eastAsia="ar-SA"/>
        </w:rPr>
      </w:pPr>
      <w:r w:rsidRPr="00B105EE">
        <w:rPr>
          <w:lang w:eastAsia="ar-SA"/>
        </w:rPr>
        <w:t>Nas contratações de serviços e fornecimentos contínuos com vigência superior a 1 (um) ano, assim como nas subsequentes prorrogações, o percentual da garantia incidirá sobre o valor anual do contrato (art. 98, parágrafo único, da Lei n</w:t>
      </w:r>
      <w:r w:rsidR="3B8C9C8D" w:rsidRPr="0039509F">
        <w:rPr>
          <w:lang w:eastAsia="ar-SA"/>
        </w:rPr>
        <w:t>.</w:t>
      </w:r>
      <w:r w:rsidRPr="00B105EE">
        <w:rPr>
          <w:lang w:eastAsia="ar-SA"/>
        </w:rPr>
        <w:t xml:space="preserve"> 14.133</w:t>
      </w:r>
      <w:r w:rsidR="007715BF">
        <w:rPr>
          <w:lang w:eastAsia="ar-SA"/>
        </w:rPr>
        <w:t>, de 20</w:t>
      </w:r>
      <w:r w:rsidRPr="00B105EE">
        <w:rPr>
          <w:lang w:eastAsia="ar-SA"/>
        </w:rPr>
        <w:t>21).</w:t>
      </w:r>
    </w:p>
    <w:p w14:paraId="1DDF2C51" w14:textId="39C5607E" w:rsidR="0F41E515" w:rsidRPr="00B105EE" w:rsidRDefault="7AF53BE6" w:rsidP="00B105EE">
      <w:pPr>
        <w:pStyle w:val="ApTexto"/>
        <w:spacing w:before="0" w:after="360"/>
        <w:rPr>
          <w:lang w:eastAsia="ar-SA"/>
        </w:rPr>
      </w:pPr>
      <w:r w:rsidRPr="00B105EE">
        <w:rPr>
          <w:lang w:eastAsia="ar-SA"/>
        </w:rPr>
        <w:t>No intuito de evitar o abandono de obras e serviços de engenharia, a Lei n</w:t>
      </w:r>
      <w:r w:rsidR="768BF611" w:rsidRPr="0039509F">
        <w:rPr>
          <w:lang w:eastAsia="ar-SA"/>
        </w:rPr>
        <w:t>.</w:t>
      </w:r>
      <w:r w:rsidRPr="00B105EE">
        <w:rPr>
          <w:lang w:eastAsia="ar-SA"/>
        </w:rPr>
        <w:t xml:space="preserve"> 14.133</w:t>
      </w:r>
      <w:r w:rsidR="007715BF">
        <w:rPr>
          <w:lang w:eastAsia="ar-SA"/>
        </w:rPr>
        <w:t>, de 20</w:t>
      </w:r>
      <w:r w:rsidRPr="00B105EE">
        <w:rPr>
          <w:lang w:eastAsia="ar-SA"/>
        </w:rPr>
        <w:t xml:space="preserve">21 inovou, admitindo que o órgão licitante exija a prestação de garantia na modalidade seguro-garantia com cláusula de retomada, modalidade de seguro conhecida como Performance Bond, em que a empresa seguradora não apenas se responsabiliza pelos prejuízos causados pela empresa executora da obra, como, ademais, compromete-se a assumir a execução e concluir o objeto do contrato, em caso de inadimplemento da contratada (art. 102). </w:t>
      </w:r>
    </w:p>
    <w:p w14:paraId="39271870" w14:textId="64139CBC" w:rsidR="0F41E515" w:rsidRPr="00B105EE" w:rsidRDefault="7AF53BE6" w:rsidP="00B105EE">
      <w:pPr>
        <w:pStyle w:val="ApTexto"/>
        <w:spacing w:before="0" w:after="360"/>
        <w:rPr>
          <w:lang w:eastAsia="ar-SA"/>
        </w:rPr>
      </w:pPr>
      <w:r w:rsidRPr="00B105EE">
        <w:rPr>
          <w:lang w:eastAsia="ar-SA"/>
        </w:rPr>
        <w:t>Quando exigida a prestação de garantia na modalidade seguro-garantia com cláusula de retomada, a seguradora deverá firmar o instrumento de contrato, inclusive os termos aditivos, como interveniente anuente, e lhe será garantido o acompanhamento da execução do contrato, podendo, inclusive, ter acesso às instalações em que for executado o contrato e aos documentos da fiscalização técnica e contábil (art. 102, I, da Lei n</w:t>
      </w:r>
      <w:r w:rsidR="46390126" w:rsidRPr="0039509F">
        <w:rPr>
          <w:lang w:eastAsia="ar-SA"/>
        </w:rPr>
        <w:t>.</w:t>
      </w:r>
      <w:r w:rsidRPr="00B105EE">
        <w:rPr>
          <w:lang w:eastAsia="ar-SA"/>
        </w:rPr>
        <w:t xml:space="preserve"> 14.133</w:t>
      </w:r>
      <w:r w:rsidR="007715BF">
        <w:rPr>
          <w:lang w:eastAsia="ar-SA"/>
        </w:rPr>
        <w:t>, de 20</w:t>
      </w:r>
      <w:r w:rsidRPr="00B105EE">
        <w:rPr>
          <w:lang w:eastAsia="ar-SA"/>
        </w:rPr>
        <w:t>21)</w:t>
      </w:r>
    </w:p>
    <w:p w14:paraId="65421496" w14:textId="045FD882" w:rsidR="0F41E515" w:rsidRPr="00B105EE" w:rsidRDefault="7AF53BE6" w:rsidP="00B105EE">
      <w:pPr>
        <w:pStyle w:val="ApTexto"/>
        <w:spacing w:before="0" w:after="360"/>
        <w:rPr>
          <w:lang w:eastAsia="ar-SA"/>
        </w:rPr>
      </w:pPr>
      <w:r w:rsidRPr="00B105EE">
        <w:rPr>
          <w:lang w:eastAsia="ar-SA"/>
        </w:rPr>
        <w:t>Em caso de obras e serviços de engenharia de grande vulto, assim considerados aqueles serviços cujo valor supera o limite previsto no art. 6º, XXII, com as atualizações previstas no art. 182, ambos da Lei n</w:t>
      </w:r>
      <w:r w:rsidR="3CBBFB74" w:rsidRPr="0039509F">
        <w:rPr>
          <w:lang w:eastAsia="ar-SA"/>
        </w:rPr>
        <w:t>.</w:t>
      </w:r>
      <w:r w:rsidRPr="00B105EE">
        <w:rPr>
          <w:lang w:eastAsia="ar-SA"/>
        </w:rPr>
        <w:t xml:space="preserve"> 14.133</w:t>
      </w:r>
      <w:r w:rsidR="007715BF">
        <w:rPr>
          <w:lang w:eastAsia="ar-SA"/>
        </w:rPr>
        <w:t>, de 20</w:t>
      </w:r>
      <w:r w:rsidRPr="00B105EE">
        <w:rPr>
          <w:lang w:eastAsia="ar-SA"/>
        </w:rPr>
        <w:t>21, a Administração poderá exigir garantia na modalidade seguro-garantia, inclusive com cláusula de retomada, em percentual equivalente a até 30% (trinta por cento) do valor inicial do contrato (art. 99 da Lei n</w:t>
      </w:r>
      <w:r w:rsidR="7F9406EA" w:rsidRPr="0039509F">
        <w:rPr>
          <w:lang w:eastAsia="ar-SA"/>
        </w:rPr>
        <w:t>.</w:t>
      </w:r>
      <w:r w:rsidRPr="00B105EE">
        <w:rPr>
          <w:lang w:eastAsia="ar-SA"/>
        </w:rPr>
        <w:t xml:space="preserve"> 14.133</w:t>
      </w:r>
      <w:r w:rsidR="007715BF">
        <w:rPr>
          <w:lang w:eastAsia="ar-SA"/>
        </w:rPr>
        <w:t>, de 20</w:t>
      </w:r>
      <w:r w:rsidRPr="00B105EE">
        <w:rPr>
          <w:lang w:eastAsia="ar-SA"/>
        </w:rPr>
        <w:t>21).</w:t>
      </w:r>
    </w:p>
    <w:p w14:paraId="048C4009" w14:textId="4995E510" w:rsidR="0554D60B" w:rsidRDefault="7AF53BE6" w:rsidP="00B105EE">
      <w:pPr>
        <w:pStyle w:val="ApTexto"/>
        <w:spacing w:before="0" w:after="360"/>
        <w:rPr>
          <w:lang w:eastAsia="ar-SA"/>
        </w:rPr>
      </w:pPr>
      <w:r w:rsidRPr="00B105EE">
        <w:rPr>
          <w:lang w:eastAsia="ar-SA"/>
        </w:rPr>
        <w:lastRenderedPageBreak/>
        <w:t>Ademais, caso o valor da proposta vencedora seja inferior a 85% (oitenta e cinco por cento) do valor orçado pela Administração, deverá ser exigida garantia adicional equivalente à diferença entre o valor orçado pela Administração e o valor da proposta, conforme disposto no art. 59 da Lei n</w:t>
      </w:r>
      <w:r w:rsidR="22059C67" w:rsidRPr="0039509F">
        <w:rPr>
          <w:lang w:eastAsia="ar-SA"/>
        </w:rPr>
        <w:t>.</w:t>
      </w:r>
      <w:r w:rsidRPr="00B105EE">
        <w:rPr>
          <w:lang w:eastAsia="ar-SA"/>
        </w:rPr>
        <w:t xml:space="preserve"> 14.133</w:t>
      </w:r>
      <w:r w:rsidR="007715BF">
        <w:rPr>
          <w:lang w:eastAsia="ar-SA"/>
        </w:rPr>
        <w:t>, de 20</w:t>
      </w:r>
      <w:r w:rsidRPr="00B105EE">
        <w:rPr>
          <w:lang w:eastAsia="ar-SA"/>
        </w:rPr>
        <w:t>21.</w:t>
      </w:r>
    </w:p>
    <w:p w14:paraId="16817E4B" w14:textId="69699A9E" w:rsidR="009E499E" w:rsidRDefault="001E704A" w:rsidP="00B105EE">
      <w:pPr>
        <w:pStyle w:val="ApTexto"/>
        <w:spacing w:before="0" w:after="360"/>
        <w:rPr>
          <w:lang w:eastAsia="ar-SA"/>
        </w:rPr>
      </w:pPr>
      <w:hyperlink w:anchor="nt_20_retorno" w:history="1">
        <w:r w:rsidR="00A93963" w:rsidRPr="00A93963">
          <w:rPr>
            <w:rStyle w:val="Hyperlink"/>
          </w:rPr>
          <w:t>Voltar ao preenchimento</w:t>
        </w:r>
      </w:hyperlink>
    </w:p>
    <w:p w14:paraId="158B85F9" w14:textId="35F88EA0" w:rsidR="009C2FC2" w:rsidRPr="00540E73" w:rsidRDefault="009C2FC2" w:rsidP="009C2FC2">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134" w:name="_Toc142556236"/>
      <w:bookmarkStart w:id="135" w:name="nt_21"/>
      <w:r w:rsidRPr="009C2FC2">
        <w:rPr>
          <w:rFonts w:asciiTheme="majorHAnsi" w:hAnsiTheme="majorHAnsi" w:cstheme="majorHAnsi"/>
          <w:color w:val="auto"/>
          <w:szCs w:val="24"/>
        </w:rPr>
        <w:t>DA</w:t>
      </w:r>
      <w:r w:rsidRPr="00540E73">
        <w:rPr>
          <w:rFonts w:asciiTheme="majorHAnsi" w:hAnsiTheme="majorHAnsi" w:cstheme="majorHAnsi"/>
          <w:color w:val="auto"/>
          <w:szCs w:val="24"/>
        </w:rPr>
        <w:t xml:space="preserve"> SUSTENTABILIDADE</w:t>
      </w:r>
      <w:bookmarkEnd w:id="134"/>
    </w:p>
    <w:p w14:paraId="669A48E5" w14:textId="77777777" w:rsidR="009E499E" w:rsidRPr="007977AF" w:rsidRDefault="009E499E" w:rsidP="007977AF">
      <w:pPr>
        <w:pStyle w:val="TJTRSubTT-Nv2"/>
        <w:numPr>
          <w:ilvl w:val="1"/>
          <w:numId w:val="7"/>
        </w:numPr>
        <w:spacing w:before="0" w:after="360"/>
        <w:ind w:left="0" w:firstLine="0"/>
        <w:rPr>
          <w:iCs/>
        </w:rPr>
      </w:pPr>
      <w:bookmarkStart w:id="136" w:name="_Toc142556237"/>
      <w:bookmarkStart w:id="137" w:name="nt_21_1"/>
      <w:bookmarkEnd w:id="135"/>
      <w:r w:rsidRPr="007977AF">
        <w:rPr>
          <w:iCs/>
        </w:rPr>
        <w:t>Desenvolvimento nacional sustentável: critérios de sustentabilidade</w:t>
      </w:r>
      <w:bookmarkEnd w:id="136"/>
      <w:r w:rsidRPr="007977AF">
        <w:rPr>
          <w:iCs/>
        </w:rPr>
        <w:t xml:space="preserve">  </w:t>
      </w:r>
    </w:p>
    <w:bookmarkEnd w:id="137"/>
    <w:p w14:paraId="47EB787F" w14:textId="495FB9EE" w:rsidR="009E499E" w:rsidRDefault="009E499E" w:rsidP="009E499E">
      <w:pPr>
        <w:pStyle w:val="ApTexto"/>
        <w:spacing w:after="360"/>
      </w:pPr>
      <w:r>
        <w:t>Em obras e serviços de engenharia, a fase de planejamento da contratação deve prever a inclusão de conceitos de sustentabilidade nos projetos que serão elaborados. Assim, as ações da Administração devem ser especialmente voltadas para a redução do consumo, para a aquisição preferencial de produtos inseridos no conceito de economia circular ou que representem menor impacto ambiental e para a prevenção e o gerenciamento dos resíduos da construção (</w:t>
      </w:r>
      <w:proofErr w:type="spellStart"/>
      <w:r>
        <w:t>arts</w:t>
      </w:r>
      <w:proofErr w:type="spellEnd"/>
      <w:r>
        <w:t>. 5º e 11 da Lei n. 14.133, de 2021, c/c art. 7º, XI, da Lei n</w:t>
      </w:r>
      <w:r w:rsidR="0072482B">
        <w:t>.</w:t>
      </w:r>
      <w:r>
        <w:t xml:space="preserve"> 12.305, de 2010).</w:t>
      </w:r>
    </w:p>
    <w:p w14:paraId="2F7A6AEB" w14:textId="77777777" w:rsidR="009E499E" w:rsidRDefault="009E499E" w:rsidP="009E499E">
      <w:pPr>
        <w:pStyle w:val="ApTexto"/>
        <w:spacing w:after="360"/>
      </w:pPr>
      <w:r>
        <w:t>A equipe de gerenciamento da contratação tem o dever legal de analisar a viabilidade de inclusão de soluções sustentáveis ainda na fase de elaboração do Estudo Técnico Preliminar. Por meio desse documento, o órgão deve identificar, do ponto de vista administrativo e funcional, quais os requisitos estruturais, funcionais e de desempenho que devem ser atendidos em uma obra ou serviço de engenharia específico. É esse documento que orienta a confecção dos projetos e dos cadernos de encargos e especificações técnicas e deve apresentar quais os reais problemas que deverão ser solucionados, bem como os objetivos que a Administração se propõe a cumprir.</w:t>
      </w:r>
    </w:p>
    <w:p w14:paraId="0664777E" w14:textId="5D7DD32F" w:rsidR="009E499E" w:rsidRDefault="009E499E" w:rsidP="009E499E">
      <w:pPr>
        <w:pStyle w:val="ApTexto"/>
        <w:spacing w:after="360"/>
      </w:pPr>
      <w:r>
        <w:t>É a partir das definições contidas no Estudo Técnico Preliminar (ETP) que o Engenheiro/Arquiteto vai especificar quais os materiais a serem adquiridos, as técnicas a serem utilizadas e os custos do empreendimento. Ou seja, se a Administração insere no ETP que um determinado prédio deve ter sistemas de economia de água e energia, ou um sistema de captação e utilização de águas pluviais ou, ainda, que a disposição das salas e do layout de um edifício deve favorecer certos fatores climáticos locais, por exemplo, todas essas especificações deverão ser detalhadas no Projeto de Arquitetura ou de Engenharia a ser elaborado.</w:t>
      </w:r>
    </w:p>
    <w:p w14:paraId="5748C023" w14:textId="6957B53A" w:rsidR="009E499E" w:rsidRDefault="009E499E" w:rsidP="009E499E">
      <w:pPr>
        <w:pStyle w:val="ApTexto"/>
        <w:spacing w:after="360"/>
      </w:pPr>
      <w:r>
        <w:t xml:space="preserve">Nesse contexto, a Administração pode, inclusive, buscar a certificação de sustentabilidade do empreendimento. O processo de certificação, quando utilizado, atesta a obediência a determinados padrões de qualidade, desempenho, bem como de conformidade a regras nacionais e internacionais. </w:t>
      </w:r>
    </w:p>
    <w:p w14:paraId="1CFFF4BB" w14:textId="57A2C8E5" w:rsidR="009E499E" w:rsidRDefault="009E499E" w:rsidP="009E499E">
      <w:pPr>
        <w:pStyle w:val="ApTexto"/>
        <w:spacing w:after="360"/>
      </w:pPr>
      <w:r>
        <w:t>São bem conhecidas as certificações do Programa Nacional de Conservação de Energia Elétrica – PROCEL, coordenado pelo Inmetro e o Ministério de Minas e Energia, bem como o Programa Nacional de Eficiência Energética em Edificações – PROCEL/Edifica, também coordenado pelo Inmetro em parceria com a Eletrobrás.</w:t>
      </w:r>
    </w:p>
    <w:p w14:paraId="225C60A2" w14:textId="25491A81" w:rsidR="009E499E" w:rsidRDefault="009E499E" w:rsidP="009E499E">
      <w:pPr>
        <w:pStyle w:val="ApTexto"/>
        <w:spacing w:after="360"/>
      </w:pPr>
      <w:r>
        <w:lastRenderedPageBreak/>
        <w:t>Por meio dessas duas iniciativas foram introduzidos no Programa Brasileiro de Etiquetagem – PBE, os Requisitos Técnicos de Qualidade para o Nível de Eficiência Energética de Edifícios Comerciais, de Edifícios Públicos (RTQ-C) e o Regulamento Técnico da Qualidade para o Nível de Eficiência Energética de Edificações Residenciais (RTQ-R).</w:t>
      </w:r>
    </w:p>
    <w:p w14:paraId="4CF3F141" w14:textId="786C7EDC" w:rsidR="009E499E" w:rsidRDefault="009E499E" w:rsidP="009E499E">
      <w:pPr>
        <w:pStyle w:val="ApTexto"/>
        <w:spacing w:after="360"/>
      </w:pPr>
      <w:r>
        <w:t>Através dos procedimentos de submissão definidos nos Requisitos de Avaliação da Conformidade para Eficiência Energética de Edificações (RAC) é possível, inclusive, conferir a um edifício a Etiqueta Nacional de Conservação de Energia (ENCE) do Inmetro.</w:t>
      </w:r>
    </w:p>
    <w:p w14:paraId="457B329D" w14:textId="5B835BA6" w:rsidR="009E499E" w:rsidRDefault="009E499E" w:rsidP="009E499E">
      <w:pPr>
        <w:pStyle w:val="ApTexto"/>
        <w:spacing w:after="360"/>
      </w:pPr>
      <w:r>
        <w:t>Por meio do Acórdão n. 1666/2019-Plenário, o Tribunal de Contas da União teve a oportunidade de apreciar a legalidade da exigência de apresentação de certificações em certames, e asseverou que a Administração deve buscar o equilíbrio entre a ampla participação e as exigências de qualificação e de conteúdo das propostas.</w:t>
      </w:r>
    </w:p>
    <w:p w14:paraId="2DF5FD4A" w14:textId="526881FB" w:rsidR="009E499E" w:rsidRPr="009A0836" w:rsidRDefault="009E499E" w:rsidP="009E499E">
      <w:pPr>
        <w:pStyle w:val="ApTexto"/>
        <w:spacing w:after="360"/>
        <w:rPr>
          <w:b/>
        </w:rPr>
      </w:pPr>
      <w:r>
        <w:t>No que diz respeito ao planejamento de obras e serviços de engenharia, é possível identificar três etapas principais em que o desenvolvimento sustentável deve ser observado</w:t>
      </w:r>
      <w:r w:rsidRPr="009A0836">
        <w:rPr>
          <w:b/>
        </w:rPr>
        <w:t>: a) Quando da definição dos aspectos técnicos do objeto - especificação técnica; b) Na minimização do impacto - prevenção de resíduos; e c) Quanto à destinação ambiental dos resíduos e rejeitos - gestão de resíduos.</w:t>
      </w:r>
    </w:p>
    <w:p w14:paraId="5102C830" w14:textId="77777777" w:rsidR="009E499E" w:rsidRDefault="009E499E" w:rsidP="009E499E">
      <w:pPr>
        <w:pStyle w:val="ApTexto"/>
        <w:spacing w:after="360"/>
      </w:pPr>
      <w:r>
        <w:t>A Advocacia-Geral da União publicou o Guia Nacional de Contratações Sustentáveis, no qual o Administrador Público encontrará subsídios que o ajudarão a trilhar o caminho da sustentabilidade.</w:t>
      </w:r>
    </w:p>
    <w:p w14:paraId="72C6BE23" w14:textId="4836AC8B" w:rsidR="009E499E" w:rsidRDefault="009E499E" w:rsidP="009E499E">
      <w:pPr>
        <w:pStyle w:val="ApTexto"/>
        <w:spacing w:after="360"/>
      </w:pPr>
      <w:r>
        <w:t>A consulta ao Guia Nacional de Contratações Sustentáveis da CGU/AGU, assim como a inserção das previsões legais ali relacionadas nas minutas editalícias correspondentes, antes do encaminhamento do processo administrativo para Parecer jurídico, é um dever do Gestor Público.</w:t>
      </w:r>
    </w:p>
    <w:p w14:paraId="4D7949B6" w14:textId="03C669F0" w:rsidR="009E499E" w:rsidRDefault="009E499E" w:rsidP="009E499E">
      <w:pPr>
        <w:pStyle w:val="ApTexto"/>
        <w:spacing w:after="360"/>
      </w:pPr>
      <w:r>
        <w:t>Ressalta-se que há possibilidade de serem incluídos outros critérios e práticas de sustentabilidade além daqueles legalmente previstos e constantes do Guia, desde que observados os demais princípios licitatórios, mediante justificativa a constar do processo administrativo.</w:t>
      </w:r>
    </w:p>
    <w:p w14:paraId="45DF8142" w14:textId="77777777" w:rsidR="009E499E" w:rsidRPr="007977AF" w:rsidRDefault="009E499E" w:rsidP="007977AF">
      <w:pPr>
        <w:pStyle w:val="TJTRSubTT-Nv2"/>
        <w:numPr>
          <w:ilvl w:val="1"/>
          <w:numId w:val="7"/>
        </w:numPr>
        <w:spacing w:before="0" w:after="360"/>
        <w:ind w:left="0" w:firstLine="0"/>
        <w:rPr>
          <w:iCs/>
        </w:rPr>
      </w:pPr>
      <w:bookmarkStart w:id="138" w:name="_Toc142556238"/>
      <w:bookmarkStart w:id="139" w:name="nt_21_2"/>
      <w:r w:rsidRPr="007977AF">
        <w:rPr>
          <w:iCs/>
        </w:rPr>
        <w:t>Da Especificação Técnica</w:t>
      </w:r>
      <w:bookmarkEnd w:id="138"/>
    </w:p>
    <w:bookmarkEnd w:id="139"/>
    <w:p w14:paraId="2A6EA30F" w14:textId="53707658" w:rsidR="009E499E" w:rsidRDefault="009E499E" w:rsidP="009E499E">
      <w:pPr>
        <w:pStyle w:val="ApTexto"/>
        <w:spacing w:after="360"/>
      </w:pPr>
      <w:r>
        <w:t xml:space="preserve">No planejamento da contratação devem ser observados determinados pressupostos, entre eles a especificação do objeto de acordo com critérios e práticas de sustentabilidade, a existência de obrigações a serem cumpridas durante a execução dos serviços e dos insumos a eles vinculados, bem como a incidência de normas especiais de comercialização de produtos ou de licenciamento de atividades (ex.: registro no Cadastro Técnico Federal - CTF), que são requisitos previstos na legislação de regência ou em leis especiais (ex.: </w:t>
      </w:r>
      <w:proofErr w:type="spellStart"/>
      <w:r>
        <w:t>arts</w:t>
      </w:r>
      <w:proofErr w:type="spellEnd"/>
      <w:r>
        <w:t xml:space="preserve">. 66 e 67, IV, da Lei n. 14.133, de 2021). </w:t>
      </w:r>
    </w:p>
    <w:p w14:paraId="4828E7F2" w14:textId="77777777" w:rsidR="009E499E" w:rsidRPr="007977AF" w:rsidRDefault="009E499E" w:rsidP="007977AF">
      <w:pPr>
        <w:pStyle w:val="TJTRSubTT-Nv2"/>
        <w:numPr>
          <w:ilvl w:val="1"/>
          <w:numId w:val="7"/>
        </w:numPr>
        <w:spacing w:before="0" w:after="360"/>
        <w:ind w:left="0" w:firstLine="0"/>
        <w:rPr>
          <w:iCs/>
        </w:rPr>
      </w:pPr>
      <w:bookmarkStart w:id="140" w:name="_Toc142556239"/>
      <w:bookmarkStart w:id="141" w:name="nt_21_3"/>
      <w:r w:rsidRPr="007977AF">
        <w:rPr>
          <w:iCs/>
        </w:rPr>
        <w:t>Da Minimização do Impacto</w:t>
      </w:r>
      <w:bookmarkEnd w:id="140"/>
    </w:p>
    <w:bookmarkEnd w:id="141"/>
    <w:p w14:paraId="6457000F" w14:textId="67F54B65" w:rsidR="009E499E" w:rsidRDefault="009E499E" w:rsidP="009E499E">
      <w:pPr>
        <w:pStyle w:val="ApTexto"/>
        <w:spacing w:after="360"/>
      </w:pPr>
      <w:r>
        <w:lastRenderedPageBreak/>
        <w:t>No que tange a obras e serviços de engenharia, o art. 18, § 1º, XII da Lei n</w:t>
      </w:r>
      <w:r w:rsidR="0072482B">
        <w:t>.</w:t>
      </w:r>
      <w:r>
        <w:t xml:space="preserve"> 14.133</w:t>
      </w:r>
      <w:r w:rsidR="00B56A8A">
        <w:t xml:space="preserve">, de </w:t>
      </w:r>
      <w:r>
        <w:t>2021</w:t>
      </w:r>
      <w:r w:rsidR="00B56A8A">
        <w:t>,</w:t>
      </w:r>
      <w:r>
        <w:t xml:space="preserve"> estabelece como um dos elementos do estudo técnico preliminar a descrição de possíveis impactos ambientais e respectivas medidas mitigadoras, incluídos requisitos de baixo consumo de energia e de outros recursos, bem como logística reversa para desfazimento e reciclagem de bens e refugos, quando aplicável”.</w:t>
      </w:r>
    </w:p>
    <w:p w14:paraId="34B7EE18" w14:textId="03027AC3" w:rsidR="009E499E" w:rsidRDefault="009E499E" w:rsidP="009E499E">
      <w:pPr>
        <w:pStyle w:val="ApTexto"/>
        <w:spacing w:after="360"/>
      </w:pPr>
      <w:r>
        <w:t>O art. 45 da Lei n</w:t>
      </w:r>
      <w:r w:rsidR="0072482B">
        <w:t>.</w:t>
      </w:r>
      <w:r>
        <w:t xml:space="preserve"> 14.133, de 2021, estabelece que as contratações de obras e serviços de engenharia devem respeitar as normas relativas a:</w:t>
      </w:r>
    </w:p>
    <w:p w14:paraId="0F35D7ED" w14:textId="77777777" w:rsidR="009E499E" w:rsidRPr="00E0098B" w:rsidRDefault="009E499E" w:rsidP="00E0098B">
      <w:pPr>
        <w:pStyle w:val="ApCitao"/>
        <w:spacing w:before="0" w:after="360"/>
        <w:ind w:left="2552" w:firstLine="0"/>
        <w:rPr>
          <w:sz w:val="22"/>
          <w:szCs w:val="22"/>
        </w:rPr>
      </w:pPr>
      <w:r w:rsidRPr="00E0098B">
        <w:rPr>
          <w:sz w:val="22"/>
          <w:szCs w:val="22"/>
        </w:rPr>
        <w:t>I - disposição final ambientalmente adequada dos resíduos sólidos gerados pelas obras contratadas;</w:t>
      </w:r>
    </w:p>
    <w:p w14:paraId="1FA96455" w14:textId="77777777" w:rsidR="009E499E" w:rsidRPr="00E0098B" w:rsidRDefault="009E499E" w:rsidP="00E0098B">
      <w:pPr>
        <w:pStyle w:val="ApCitao"/>
        <w:spacing w:before="0" w:after="360"/>
        <w:ind w:left="2552" w:firstLine="0"/>
        <w:rPr>
          <w:sz w:val="22"/>
          <w:szCs w:val="22"/>
        </w:rPr>
      </w:pPr>
      <w:r w:rsidRPr="00E0098B">
        <w:rPr>
          <w:sz w:val="22"/>
          <w:szCs w:val="22"/>
        </w:rPr>
        <w:t>II - mitigação por condicionantes e compensação ambiental, que serão definidas no procedimento de licenciamento ambiental;</w:t>
      </w:r>
    </w:p>
    <w:p w14:paraId="407AE46D" w14:textId="77777777" w:rsidR="009E499E" w:rsidRPr="00E0098B" w:rsidRDefault="009E499E" w:rsidP="00E0098B">
      <w:pPr>
        <w:pStyle w:val="ApCitao"/>
        <w:spacing w:before="0" w:after="360"/>
        <w:ind w:left="2552" w:firstLine="0"/>
        <w:rPr>
          <w:sz w:val="22"/>
          <w:szCs w:val="22"/>
        </w:rPr>
      </w:pPr>
      <w:r w:rsidRPr="00E0098B">
        <w:rPr>
          <w:sz w:val="22"/>
          <w:szCs w:val="22"/>
        </w:rPr>
        <w:t>III - utilização de produtos, de equipamentos e de serviços que, comprovadamente, favoreçam a redução do consumo de energia e de recursos naturais;</w:t>
      </w:r>
    </w:p>
    <w:p w14:paraId="4599F161" w14:textId="77777777" w:rsidR="009E499E" w:rsidRPr="00E0098B" w:rsidRDefault="009E499E" w:rsidP="00E0098B">
      <w:pPr>
        <w:pStyle w:val="ApCitao"/>
        <w:spacing w:before="0" w:after="360"/>
        <w:ind w:left="2552" w:firstLine="0"/>
        <w:rPr>
          <w:sz w:val="22"/>
          <w:szCs w:val="22"/>
        </w:rPr>
      </w:pPr>
      <w:r w:rsidRPr="00E0098B">
        <w:rPr>
          <w:sz w:val="22"/>
          <w:szCs w:val="22"/>
        </w:rPr>
        <w:t>IV - avaliação de impacto de vizinhança, na forma da legislação urbanística;</w:t>
      </w:r>
    </w:p>
    <w:p w14:paraId="3DCDF087" w14:textId="77777777" w:rsidR="009E499E" w:rsidRPr="00E0098B" w:rsidRDefault="009E499E" w:rsidP="00E0098B">
      <w:pPr>
        <w:pStyle w:val="ApCitao"/>
        <w:spacing w:before="0" w:after="360"/>
        <w:ind w:left="2552" w:firstLine="0"/>
        <w:rPr>
          <w:sz w:val="22"/>
          <w:szCs w:val="22"/>
        </w:rPr>
      </w:pPr>
      <w:r w:rsidRPr="00E0098B">
        <w:rPr>
          <w:sz w:val="22"/>
          <w:szCs w:val="22"/>
        </w:rPr>
        <w:t>V - proteção do patrimônio histórico, cultural, arqueológico e imaterial, inclusive por meio da avaliação do impacto direto ou indireto causado pelas obras contratadas;</w:t>
      </w:r>
    </w:p>
    <w:p w14:paraId="2091402A" w14:textId="77777777" w:rsidR="009E499E" w:rsidRPr="00E0098B" w:rsidRDefault="009E499E" w:rsidP="00E0098B">
      <w:pPr>
        <w:pStyle w:val="ApCitao"/>
        <w:spacing w:before="0" w:after="360"/>
        <w:ind w:left="2552" w:firstLine="0"/>
        <w:rPr>
          <w:sz w:val="22"/>
          <w:szCs w:val="22"/>
        </w:rPr>
      </w:pPr>
      <w:r w:rsidRPr="00E0098B">
        <w:rPr>
          <w:sz w:val="22"/>
          <w:szCs w:val="22"/>
        </w:rPr>
        <w:t>VI - acessibilidade para pessoas com deficiência ou com mobilidade reduzida.</w:t>
      </w:r>
    </w:p>
    <w:p w14:paraId="53086D35" w14:textId="77777777" w:rsidR="009E499E" w:rsidRPr="007977AF" w:rsidRDefault="009E499E" w:rsidP="007977AF">
      <w:pPr>
        <w:pStyle w:val="TJTRSubTT-Nv2"/>
        <w:numPr>
          <w:ilvl w:val="1"/>
          <w:numId w:val="7"/>
        </w:numPr>
        <w:spacing w:before="0" w:after="360"/>
        <w:ind w:left="0" w:firstLine="0"/>
        <w:rPr>
          <w:iCs/>
        </w:rPr>
      </w:pPr>
      <w:bookmarkStart w:id="142" w:name="_Toc142556240"/>
      <w:bookmarkStart w:id="143" w:name="nt_21_4"/>
      <w:r w:rsidRPr="007977AF">
        <w:rPr>
          <w:iCs/>
        </w:rPr>
        <w:t>Licenciamento Ambiental</w:t>
      </w:r>
      <w:bookmarkEnd w:id="142"/>
    </w:p>
    <w:bookmarkEnd w:id="143"/>
    <w:p w14:paraId="05526765" w14:textId="1BCDF582" w:rsidR="009E499E" w:rsidRDefault="009E499E" w:rsidP="009E499E">
      <w:pPr>
        <w:pStyle w:val="ApTexto"/>
        <w:spacing w:after="360"/>
      </w:pPr>
      <w:r>
        <w:t>No tocante ao licenciamento ambiental, instrumento previsto na Política Nacional de Meio Ambiente (Lei 6.938</w:t>
      </w:r>
      <w:r w:rsidR="0029485A">
        <w:t>, de 19</w:t>
      </w:r>
      <w:r>
        <w:t>81, artigos 9</w:t>
      </w:r>
      <w:r w:rsidR="009A0836">
        <w:t>º</w:t>
      </w:r>
      <w:r>
        <w:t>, VI e 10) como boa prática de gestão administrativa é fundamental que, nos casos em que exigido, o órgão assessorado diligencie previamente perante os</w:t>
      </w:r>
      <w:r w:rsidR="0029485A">
        <w:t xml:space="preserve"> </w:t>
      </w:r>
      <w:r>
        <w:t xml:space="preserve">órgãos competentes para análise do tempo estimado para sua obtenção. </w:t>
      </w:r>
    </w:p>
    <w:p w14:paraId="455538B3" w14:textId="5377B524" w:rsidR="009E499E" w:rsidRDefault="009E499E" w:rsidP="009E499E">
      <w:pPr>
        <w:pStyle w:val="ApTexto"/>
        <w:spacing w:after="360"/>
      </w:pPr>
      <w:r>
        <w:t>A “prioridade de tramitação nos órgãos e entidades integrantes do SISNAMA” e “celeridade” que constaram do artigo 25, 2</w:t>
      </w:r>
      <w:r w:rsidR="0029485A">
        <w:t>º</w:t>
      </w:r>
      <w:r>
        <w:t>, da Lei 14.133</w:t>
      </w:r>
      <w:r w:rsidR="0029485A">
        <w:t>, de 20</w:t>
      </w:r>
      <w:r>
        <w:t>21</w:t>
      </w:r>
      <w:r w:rsidR="0029485A">
        <w:t>,</w:t>
      </w:r>
      <w:r>
        <w:t xml:space="preserve"> não implicam em adoção de medidas que resultem em prejuízos ao dever de preservação ambiental, devendo ser observados todos os regramentos específicos para o </w:t>
      </w:r>
      <w:r w:rsidR="00E0098B">
        <w:t>licenciamento</w:t>
      </w:r>
      <w:r>
        <w:t xml:space="preserve"> ambiental. </w:t>
      </w:r>
    </w:p>
    <w:p w14:paraId="716D0EE7" w14:textId="056EB2D3" w:rsidR="009E499E" w:rsidRDefault="009E499E" w:rsidP="009E499E">
      <w:pPr>
        <w:pStyle w:val="ApTexto"/>
        <w:spacing w:after="360"/>
      </w:pPr>
      <w:r>
        <w:t xml:space="preserve"> Registre-se que sempre que a responsabilidade pelo licenciamento for da Administração, a manifestação prévia ou licença prévia, quando cabíveis, deverão ser obtidas antes da divulgação do edital (art. 115, 4</w:t>
      </w:r>
      <w:r w:rsidR="00586B52">
        <w:t>º</w:t>
      </w:r>
      <w:r>
        <w:t>, Lei 14.133</w:t>
      </w:r>
      <w:r w:rsidR="00586B52">
        <w:t>, de 20</w:t>
      </w:r>
      <w:r>
        <w:t>21)</w:t>
      </w:r>
    </w:p>
    <w:p w14:paraId="7FE1B8FD" w14:textId="15602947" w:rsidR="009E499E" w:rsidRDefault="009E499E" w:rsidP="009E499E">
      <w:pPr>
        <w:pStyle w:val="ApTexto"/>
        <w:spacing w:after="360"/>
      </w:pPr>
      <w:r>
        <w:lastRenderedPageBreak/>
        <w:t>Nas hipóteses nas quais a responsabilidade pelo licenciamento for da contratada, o órgão assessorado deverá considerá-lo no estudo técnico preliminar, na avaliação de riscos e estabelecer um cronograma físico-financeiro compatível, a fim de que seja inserido prazo adequado, evitando-se atrasos na execução contratual e futuras necessidades de prorrogação.</w:t>
      </w:r>
    </w:p>
    <w:p w14:paraId="5E07BF2E" w14:textId="77777777" w:rsidR="009E499E" w:rsidRPr="007977AF" w:rsidRDefault="009E499E" w:rsidP="007977AF">
      <w:pPr>
        <w:pStyle w:val="TJTRSubTT-Nv2"/>
        <w:numPr>
          <w:ilvl w:val="1"/>
          <w:numId w:val="7"/>
        </w:numPr>
        <w:spacing w:before="0" w:after="360"/>
        <w:ind w:left="0" w:firstLine="0"/>
        <w:rPr>
          <w:iCs/>
        </w:rPr>
      </w:pPr>
      <w:bookmarkStart w:id="144" w:name="_Toc142556241"/>
      <w:bookmarkStart w:id="145" w:name="nt_21_5"/>
      <w:r w:rsidRPr="007977AF">
        <w:rPr>
          <w:iCs/>
        </w:rPr>
        <w:t>Dos Resíduos e Rejeitos</w:t>
      </w:r>
      <w:bookmarkEnd w:id="144"/>
    </w:p>
    <w:bookmarkEnd w:id="145"/>
    <w:p w14:paraId="6A3E3541" w14:textId="251C4EB4" w:rsidR="009E499E" w:rsidRDefault="009E499E" w:rsidP="009E499E">
      <w:pPr>
        <w:pStyle w:val="ApTexto"/>
        <w:spacing w:after="360"/>
      </w:pPr>
      <w:r>
        <w:t xml:space="preserve">Resíduos e rejeitos são causadores de grande impacto ambiental, por </w:t>
      </w:r>
      <w:proofErr w:type="spellStart"/>
      <w:r>
        <w:t>tal</w:t>
      </w:r>
      <w:proofErr w:type="spellEnd"/>
      <w:r>
        <w:t xml:space="preserve"> motivo o Administrador Público deve, quando da contratação de obras e serviços de engenharia, ter como metas as seguintes políticas: (a) Da não geração; (b) Da redução; (c) Da reutilização; (d) Do tratamento; e, (e) Da disposição adequada.</w:t>
      </w:r>
    </w:p>
    <w:p w14:paraId="32EBC6D4" w14:textId="77777777" w:rsidR="009E499E" w:rsidRPr="007977AF" w:rsidRDefault="009E499E" w:rsidP="007977AF">
      <w:pPr>
        <w:pStyle w:val="TJTRSubTT-Nv2"/>
        <w:numPr>
          <w:ilvl w:val="1"/>
          <w:numId w:val="7"/>
        </w:numPr>
        <w:spacing w:before="0" w:after="360"/>
        <w:ind w:left="0" w:firstLine="0"/>
        <w:rPr>
          <w:iCs/>
        </w:rPr>
      </w:pPr>
      <w:bookmarkStart w:id="146" w:name="_Toc142556242"/>
      <w:bookmarkStart w:id="147" w:name="nt_21_6"/>
      <w:r w:rsidRPr="007977AF">
        <w:rPr>
          <w:iCs/>
        </w:rPr>
        <w:t>Da Sustentabilidade como Política Transversal</w:t>
      </w:r>
      <w:bookmarkEnd w:id="146"/>
    </w:p>
    <w:bookmarkEnd w:id="147"/>
    <w:p w14:paraId="1A3770AF" w14:textId="2C723794" w:rsidR="009E499E" w:rsidRDefault="009E499E" w:rsidP="009E499E">
      <w:pPr>
        <w:pStyle w:val="ApTexto"/>
        <w:spacing w:after="360"/>
      </w:pPr>
      <w:r>
        <w:t>A Sustentabilidade ora tratada enquadra-se no conceito de política socioambiental; contudo, devido à sua transversalidade, pode ser conjugada com outras políticas públicas, o que lhes confere maior efetividade.</w:t>
      </w:r>
    </w:p>
    <w:p w14:paraId="5BEAAFDB" w14:textId="7F395BF5" w:rsidR="009E499E" w:rsidRDefault="009E499E" w:rsidP="009E499E">
      <w:pPr>
        <w:pStyle w:val="ApTexto"/>
        <w:spacing w:after="360"/>
      </w:pPr>
      <w:r>
        <w:t>Como exemplos de políticas públicas que podem ser aplicadas em conjunto com a Sustentabilidade nas contratações públicas, temos: a Política Nacional de Resíduos Sólidos (Lei n. 12.305, de 2010); a Coleta Seletiva; a Política de Incentivo às Micro e Pequenas Empresas (Lei Complementar n. 123, de 2006); e a Política Nacional para Integração das Pessoas com Deficiência (Decreto n. 3.298, de 1999, e Decreto n. 6.949, de 2009).</w:t>
      </w:r>
    </w:p>
    <w:p w14:paraId="43B947A3" w14:textId="77777777" w:rsidR="009E499E" w:rsidRPr="007977AF" w:rsidRDefault="009E499E" w:rsidP="007977AF">
      <w:pPr>
        <w:pStyle w:val="TJTRSubTT-Nv2"/>
        <w:numPr>
          <w:ilvl w:val="1"/>
          <w:numId w:val="7"/>
        </w:numPr>
        <w:spacing w:before="0" w:after="360"/>
        <w:ind w:left="0" w:firstLine="0"/>
        <w:rPr>
          <w:szCs w:val="24"/>
        </w:rPr>
      </w:pPr>
      <w:bookmarkStart w:id="148" w:name="_Toc142556243"/>
      <w:bookmarkStart w:id="149" w:name="nt_21_7"/>
      <w:r w:rsidRPr="007977AF">
        <w:rPr>
          <w:szCs w:val="24"/>
        </w:rPr>
        <w:t>Da Política Nacional de Resíduos Sólidos</w:t>
      </w:r>
      <w:bookmarkEnd w:id="148"/>
    </w:p>
    <w:bookmarkEnd w:id="149"/>
    <w:p w14:paraId="35FE17C0" w14:textId="300E67A4" w:rsidR="009E499E" w:rsidRDefault="009E499E" w:rsidP="009E499E">
      <w:pPr>
        <w:pStyle w:val="ApTexto"/>
        <w:spacing w:after="360"/>
      </w:pPr>
      <w:r>
        <w:t>Assim, nos termos do inc. XI do art. 7º da Lei n. 12.305, de 2010, nas aquisições e contratações governamentais, deve ser dada prioridade para produtos reciclados e recicláveis e para bens, serviços e obras que considerem critérios compatíveis com padrões de consumo social e ambientalmente sustentáveis.</w:t>
      </w:r>
    </w:p>
    <w:p w14:paraId="48FE7F8E" w14:textId="77777777" w:rsidR="009E499E" w:rsidRPr="007977AF" w:rsidRDefault="009E499E" w:rsidP="007977AF">
      <w:pPr>
        <w:pStyle w:val="TJTRSubTT-Nv2"/>
        <w:numPr>
          <w:ilvl w:val="1"/>
          <w:numId w:val="7"/>
        </w:numPr>
        <w:spacing w:before="0" w:after="360"/>
        <w:ind w:left="0" w:firstLine="0"/>
        <w:rPr>
          <w:szCs w:val="24"/>
        </w:rPr>
      </w:pPr>
      <w:bookmarkStart w:id="150" w:name="_Toc142556244"/>
      <w:bookmarkStart w:id="151" w:name="nt_21_8"/>
      <w:r w:rsidRPr="007977AF">
        <w:rPr>
          <w:szCs w:val="24"/>
        </w:rPr>
        <w:t>Da Acessibilidade</w:t>
      </w:r>
      <w:bookmarkEnd w:id="150"/>
    </w:p>
    <w:bookmarkEnd w:id="151"/>
    <w:p w14:paraId="6670555B" w14:textId="4E56A0FB" w:rsidR="009E499E" w:rsidRDefault="009E499E" w:rsidP="009E499E">
      <w:pPr>
        <w:pStyle w:val="ApTexto"/>
        <w:spacing w:after="360"/>
      </w:pPr>
      <w:r>
        <w:t>A acessibilidade constitui outro aspecto relevante da sustentabilidade a ser observado pelo Gestor Público quando da contratação de obras e serviços de engenharia (Decreto n. 6.949, de 2009</w:t>
      </w:r>
      <w:r w:rsidR="00586B52">
        <w:t>,</w:t>
      </w:r>
      <w:r>
        <w:t xml:space="preserve"> e Lei n. 13.146, de 2015).</w:t>
      </w:r>
    </w:p>
    <w:p w14:paraId="7E877E0A" w14:textId="682E0614" w:rsidR="009E499E" w:rsidRDefault="009E499E" w:rsidP="009E499E">
      <w:pPr>
        <w:pStyle w:val="ApTexto"/>
        <w:spacing w:after="360"/>
      </w:pPr>
      <w:r>
        <w:t>O Tribunal de Contas da União - TCU, inclusive, tem recomendado a observância dos “normativos aplicáveis à matéria, sem prejuízo de outras ações não normatizadas que visem a atender o Princípio da Isonomia, no que se refere à acessibilidade” (AC-0047-01/15-P, Plenário, Relator Bruno Dantas).</w:t>
      </w:r>
    </w:p>
    <w:p w14:paraId="2EFB3ABF" w14:textId="61A3F73D" w:rsidR="009E499E" w:rsidRDefault="009E499E" w:rsidP="009E499E">
      <w:pPr>
        <w:pStyle w:val="ApTexto"/>
        <w:spacing w:after="360"/>
      </w:pPr>
      <w:r>
        <w:t xml:space="preserve">A acessibilidade caracteriza-se pela identificação e eliminação de barreiras que impeçam ou restrinjam o acesso de pessoas com deficiência ou mobilidade reduzida. É </w:t>
      </w:r>
      <w:r>
        <w:lastRenderedPageBreak/>
        <w:t>importante ressaltar que tais barreiras podem ser de natureza urbanística; arquitetônica; podem estar relacionadas aos meios de transporte; aos meios de comunicação; à forma como é prestada a informação; podem ser barreiras de origem comportamental; ou constituírem barreiras tecnológicas.</w:t>
      </w:r>
    </w:p>
    <w:p w14:paraId="770987A0" w14:textId="41C4452C" w:rsidR="009E499E" w:rsidRDefault="009E499E" w:rsidP="009E499E">
      <w:pPr>
        <w:pStyle w:val="ApTexto"/>
        <w:spacing w:after="360"/>
        <w:rPr>
          <w:b/>
        </w:rPr>
      </w:pPr>
      <w:r>
        <w:t xml:space="preserve">Nesse sentido, a Administração Pública, quando da contratação de obras e serviços de engenharia deve: </w:t>
      </w:r>
      <w:r w:rsidRPr="00586B52">
        <w:rPr>
          <w:b/>
        </w:rPr>
        <w:t>a) Na fase de planejamento, observar os princípios do desenho universal, concebendo os ambientes de forma a serem usados por todas as pessoas, sem necessidade de adaptação ou de projeto específico; e b) Observar os parâmetros técnicos estabelecidos pela Norma Brasileira de Acessibilidade a edificações, mobiliário, espaços e equipamentos urbanos - NBR 9050/2004.</w:t>
      </w:r>
    </w:p>
    <w:p w14:paraId="1B3E0BDD" w14:textId="0231090E" w:rsidR="00A93963" w:rsidRPr="00586B52" w:rsidRDefault="001E704A" w:rsidP="009E499E">
      <w:pPr>
        <w:pStyle w:val="ApTexto"/>
        <w:spacing w:after="360"/>
        <w:rPr>
          <w:b/>
        </w:rPr>
      </w:pPr>
      <w:hyperlink w:anchor="nt_21_retorno" w:history="1">
        <w:r w:rsidR="00A93963" w:rsidRPr="00A93963">
          <w:rPr>
            <w:rStyle w:val="Hyperlink"/>
          </w:rPr>
          <w:t>Voltar ao preenchimento</w:t>
        </w:r>
      </w:hyperlink>
    </w:p>
    <w:sectPr w:rsidR="00A93963" w:rsidRPr="00586B52" w:rsidSect="007375C5">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FA4FE" w14:textId="77777777" w:rsidR="00815272" w:rsidRDefault="00815272" w:rsidP="00BF3FF2">
      <w:pPr>
        <w:spacing w:after="0" w:line="240" w:lineRule="auto"/>
      </w:pPr>
      <w:r>
        <w:separator/>
      </w:r>
    </w:p>
  </w:endnote>
  <w:endnote w:type="continuationSeparator" w:id="0">
    <w:p w14:paraId="5C9D7E49" w14:textId="77777777" w:rsidR="00815272" w:rsidRDefault="00815272" w:rsidP="00BF3FF2">
      <w:pPr>
        <w:spacing w:after="0" w:line="240" w:lineRule="auto"/>
      </w:pPr>
      <w:r>
        <w:continuationSeparator/>
      </w:r>
    </w:p>
  </w:endnote>
  <w:endnote w:type="continuationNotice" w:id="1">
    <w:p w14:paraId="7D6B486E" w14:textId="77777777" w:rsidR="00815272" w:rsidRDefault="008152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Cambria"/>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5B775" w14:textId="2011DD95" w:rsidR="003F7F9B" w:rsidRDefault="003F7F9B" w:rsidP="003C7979">
    <w:pPr>
      <w:suppressAutoHyphens/>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ECDB2" w14:textId="77777777" w:rsidR="00815272" w:rsidRDefault="00815272" w:rsidP="00BF3FF2">
      <w:pPr>
        <w:spacing w:after="0" w:line="240" w:lineRule="auto"/>
      </w:pPr>
      <w:r>
        <w:separator/>
      </w:r>
    </w:p>
  </w:footnote>
  <w:footnote w:type="continuationSeparator" w:id="0">
    <w:p w14:paraId="1B4B7268" w14:textId="77777777" w:rsidR="00815272" w:rsidRDefault="00815272" w:rsidP="00BF3FF2">
      <w:pPr>
        <w:spacing w:after="0" w:line="240" w:lineRule="auto"/>
      </w:pPr>
      <w:r>
        <w:continuationSeparator/>
      </w:r>
    </w:p>
  </w:footnote>
  <w:footnote w:type="continuationNotice" w:id="1">
    <w:p w14:paraId="5638010B" w14:textId="77777777" w:rsidR="00815272" w:rsidRDefault="00815272">
      <w:pPr>
        <w:spacing w:after="0" w:line="240" w:lineRule="auto"/>
      </w:pPr>
    </w:p>
  </w:footnote>
  <w:footnote w:id="2">
    <w:p w14:paraId="2B4160D1" w14:textId="50E59317" w:rsidR="003F7F9B" w:rsidRPr="002A03F2" w:rsidRDefault="003F7F9B">
      <w:pPr>
        <w:pStyle w:val="Textodenotaderodap"/>
        <w:rPr>
          <w:rFonts w:asciiTheme="majorHAnsi" w:hAnsiTheme="majorHAnsi" w:cstheme="majorHAnsi"/>
        </w:rPr>
      </w:pPr>
      <w:r w:rsidRPr="002A03F2">
        <w:rPr>
          <w:rStyle w:val="Refdenotaderodap"/>
          <w:rFonts w:asciiTheme="majorHAnsi" w:hAnsiTheme="majorHAnsi" w:cstheme="majorHAnsi"/>
        </w:rPr>
        <w:footnoteRef/>
      </w:r>
      <w:r w:rsidRPr="002A03F2">
        <w:rPr>
          <w:rFonts w:asciiTheme="majorHAnsi" w:hAnsiTheme="majorHAnsi" w:cstheme="majorHAnsi"/>
        </w:rPr>
        <w:t xml:space="preserve"> JUSTEN FILHO, Marçal. </w:t>
      </w:r>
      <w:r w:rsidRPr="002A03F2">
        <w:rPr>
          <w:rFonts w:asciiTheme="majorHAnsi" w:hAnsiTheme="majorHAnsi" w:cstheme="majorHAnsi"/>
          <w:i/>
          <w:iCs/>
        </w:rPr>
        <w:t>Comentários à Legislação do Pregão Comum e Eletrônico</w:t>
      </w:r>
      <w:r w:rsidRPr="002A03F2">
        <w:rPr>
          <w:rFonts w:asciiTheme="majorHAnsi" w:hAnsiTheme="majorHAnsi" w:cstheme="majorHAnsi"/>
        </w:rPr>
        <w:t>. Dialética, São Paulo, 2005, pg. 30</w:t>
      </w:r>
      <w:r>
        <w:rPr>
          <w:rFonts w:asciiTheme="majorHAnsi" w:hAnsiTheme="majorHAnsi" w:cstheme="majorHAnsi"/>
        </w:rPr>
        <w:t>.</w:t>
      </w:r>
    </w:p>
  </w:footnote>
  <w:footnote w:id="3">
    <w:p w14:paraId="54497D00" w14:textId="77777777" w:rsidR="003F7F9B" w:rsidRPr="00124301" w:rsidRDefault="003F7F9B" w:rsidP="00A61CFB">
      <w:pPr>
        <w:pStyle w:val="Textodenotaderodap"/>
        <w:rPr>
          <w:rFonts w:asciiTheme="majorHAnsi" w:hAnsiTheme="majorHAnsi" w:cstheme="majorHAnsi"/>
        </w:rPr>
      </w:pPr>
      <w:r w:rsidRPr="00124301">
        <w:rPr>
          <w:rStyle w:val="Refdenotaderodap"/>
          <w:rFonts w:asciiTheme="majorHAnsi" w:hAnsiTheme="majorHAnsi" w:cstheme="majorHAnsi"/>
        </w:rPr>
        <w:footnoteRef/>
      </w:r>
      <w:r w:rsidRPr="00124301">
        <w:rPr>
          <w:rFonts w:asciiTheme="majorHAnsi" w:hAnsiTheme="majorHAnsi" w:cstheme="majorHAnsi"/>
        </w:rPr>
        <w:t xml:space="preserve"> JUSTEN FILHO, Marçal. </w:t>
      </w:r>
      <w:r w:rsidRPr="00124301">
        <w:rPr>
          <w:rFonts w:asciiTheme="majorHAnsi" w:hAnsiTheme="majorHAnsi" w:cstheme="majorHAnsi"/>
          <w:i/>
          <w:iCs/>
        </w:rPr>
        <w:t>Comentários à lei de licitações e contratos administrativos</w:t>
      </w:r>
      <w:r w:rsidRPr="00124301">
        <w:rPr>
          <w:rFonts w:asciiTheme="majorHAnsi" w:hAnsiTheme="majorHAnsi" w:cstheme="majorHAnsi"/>
        </w:rPr>
        <w:t>. 17</w:t>
      </w:r>
      <w:r>
        <w:rPr>
          <w:rFonts w:asciiTheme="majorHAnsi" w:hAnsiTheme="majorHAnsi" w:cstheme="majorHAnsi"/>
        </w:rPr>
        <w:t>ª</w:t>
      </w:r>
      <w:r w:rsidRPr="00124301">
        <w:rPr>
          <w:rFonts w:asciiTheme="majorHAnsi" w:hAnsiTheme="majorHAnsi" w:cstheme="majorHAnsi"/>
        </w:rPr>
        <w:t xml:space="preserve"> ed. São Paulo: Revista dos Tribunais, 2016, p. 19</w:t>
      </w:r>
      <w:r>
        <w:rPr>
          <w:rFonts w:asciiTheme="majorHAnsi" w:hAnsiTheme="majorHAnsi" w:cstheme="majorHAnsi"/>
        </w:rPr>
        <w:t>5</w:t>
      </w:r>
      <w:r w:rsidRPr="00124301">
        <w:rPr>
          <w:rFonts w:asciiTheme="majorHAnsi" w:hAnsiTheme="majorHAnsi" w:cstheme="majorHAnsi"/>
        </w:rPr>
        <w:t>.</w:t>
      </w:r>
    </w:p>
  </w:footnote>
  <w:footnote w:id="4">
    <w:p w14:paraId="224D3C3F" w14:textId="501F09E2" w:rsidR="003F7F9B" w:rsidRPr="00124301" w:rsidRDefault="003F7F9B" w:rsidP="00A61CFB">
      <w:pPr>
        <w:pStyle w:val="Textodenotaderodap"/>
        <w:rPr>
          <w:rFonts w:asciiTheme="majorHAnsi" w:hAnsiTheme="majorHAnsi" w:cstheme="majorHAnsi"/>
        </w:rPr>
      </w:pPr>
      <w:r w:rsidRPr="00124301">
        <w:rPr>
          <w:rStyle w:val="Refdenotaderodap"/>
          <w:rFonts w:asciiTheme="majorHAnsi" w:hAnsiTheme="majorHAnsi" w:cstheme="majorHAnsi"/>
        </w:rPr>
        <w:footnoteRef/>
      </w:r>
      <w:r w:rsidRPr="00124301">
        <w:rPr>
          <w:rFonts w:asciiTheme="majorHAnsi" w:hAnsiTheme="majorHAnsi" w:cstheme="majorHAnsi"/>
        </w:rPr>
        <w:t xml:space="preserve"> TCU. Acórdão 711/2016 Plenário. Informativo de Licitações e Contratos n</w:t>
      </w:r>
      <w:r>
        <w:rPr>
          <w:rFonts w:asciiTheme="majorHAnsi" w:hAnsiTheme="majorHAnsi" w:cstheme="majorHAnsi"/>
        </w:rPr>
        <w:t>.</w:t>
      </w:r>
      <w:r w:rsidRPr="00124301">
        <w:rPr>
          <w:rFonts w:asciiTheme="majorHAnsi" w:hAnsiTheme="majorHAnsi" w:cstheme="majorHAnsi"/>
        </w:rPr>
        <w:t xml:space="preserve"> 280/2016.</w:t>
      </w:r>
    </w:p>
  </w:footnote>
  <w:footnote w:id="5">
    <w:p w14:paraId="678A27A2" w14:textId="77777777" w:rsidR="003F7F9B" w:rsidRDefault="003F7F9B" w:rsidP="006A6D8E">
      <w:pPr>
        <w:pStyle w:val="Textodenotaderodap"/>
      </w:pPr>
      <w:r>
        <w:rPr>
          <w:rStyle w:val="Refdenotaderodap"/>
        </w:rPr>
        <w:footnoteRef/>
      </w:r>
      <w:r>
        <w:t xml:space="preserve"> </w:t>
      </w:r>
      <w:r w:rsidRPr="00626839">
        <w:rPr>
          <w:rFonts w:ascii="Calibri Light" w:hAnsi="Calibri Light" w:cs="Calibri Light"/>
        </w:rPr>
        <w:t xml:space="preserve">JUSTEN FILHO, Marçal. </w:t>
      </w:r>
      <w:r w:rsidRPr="00626839">
        <w:rPr>
          <w:rFonts w:ascii="Calibri Light" w:hAnsi="Calibri Light" w:cs="Calibri Light"/>
          <w:i/>
          <w:iCs/>
        </w:rPr>
        <w:t xml:space="preserve">Comentários à </w:t>
      </w:r>
      <w:r>
        <w:rPr>
          <w:rFonts w:ascii="Calibri Light" w:hAnsi="Calibri Light" w:cs="Calibri Light"/>
          <w:i/>
          <w:iCs/>
        </w:rPr>
        <w:t>L</w:t>
      </w:r>
      <w:r w:rsidRPr="00626839">
        <w:rPr>
          <w:rFonts w:ascii="Calibri Light" w:hAnsi="Calibri Light" w:cs="Calibri Light"/>
          <w:i/>
          <w:iCs/>
        </w:rPr>
        <w:t xml:space="preserve">ei de </w:t>
      </w:r>
      <w:r>
        <w:rPr>
          <w:rFonts w:ascii="Calibri Light" w:hAnsi="Calibri Light" w:cs="Calibri Light"/>
          <w:i/>
          <w:iCs/>
        </w:rPr>
        <w:t>L</w:t>
      </w:r>
      <w:r w:rsidRPr="00626839">
        <w:rPr>
          <w:rFonts w:ascii="Calibri Light" w:hAnsi="Calibri Light" w:cs="Calibri Light"/>
          <w:i/>
          <w:iCs/>
        </w:rPr>
        <w:t xml:space="preserve">icitações e </w:t>
      </w:r>
      <w:r>
        <w:rPr>
          <w:rFonts w:ascii="Calibri Light" w:hAnsi="Calibri Light" w:cs="Calibri Light"/>
          <w:i/>
          <w:iCs/>
        </w:rPr>
        <w:t>Contratações A</w:t>
      </w:r>
      <w:r w:rsidRPr="00626839">
        <w:rPr>
          <w:rFonts w:ascii="Calibri Light" w:hAnsi="Calibri Light" w:cs="Calibri Light"/>
          <w:i/>
          <w:iCs/>
        </w:rPr>
        <w:t>dministrativ</w:t>
      </w:r>
      <w:r>
        <w:rPr>
          <w:rFonts w:ascii="Calibri Light" w:hAnsi="Calibri Light" w:cs="Calibri Light"/>
          <w:i/>
          <w:iCs/>
        </w:rPr>
        <w:t>a</w:t>
      </w:r>
      <w:r w:rsidRPr="00626839">
        <w:rPr>
          <w:rFonts w:ascii="Calibri Light" w:hAnsi="Calibri Light" w:cs="Calibri Light"/>
          <w:i/>
          <w:iCs/>
        </w:rPr>
        <w:t>s</w:t>
      </w:r>
      <w:r>
        <w:rPr>
          <w:rFonts w:ascii="Calibri Light" w:hAnsi="Calibri Light" w:cs="Calibri Light"/>
          <w:i/>
          <w:iCs/>
        </w:rPr>
        <w:t xml:space="preserve"> – Nova Lei 14.133/2021 (livro eletrônico). </w:t>
      </w:r>
      <w:r w:rsidRPr="003E1594">
        <w:rPr>
          <w:rFonts w:ascii="Calibri Light" w:hAnsi="Calibri Light" w:cs="Calibri Light"/>
        </w:rPr>
        <w:t>2ª ed. São Paulo: Thomson Reuters Brasil, 2023.</w:t>
      </w:r>
    </w:p>
  </w:footnote>
  <w:footnote w:id="6">
    <w:p w14:paraId="28855513" w14:textId="77777777" w:rsidR="003F7F9B" w:rsidRDefault="003F7F9B" w:rsidP="006A6D8E">
      <w:pPr>
        <w:pStyle w:val="Textodenotaderodap"/>
      </w:pPr>
      <w:r>
        <w:rPr>
          <w:rStyle w:val="Refdenotaderodap"/>
        </w:rPr>
        <w:footnoteRef/>
      </w:r>
      <w:r>
        <w:t xml:space="preserve"> </w:t>
      </w:r>
      <w:r w:rsidRPr="00626839">
        <w:rPr>
          <w:rFonts w:ascii="Calibri Light" w:hAnsi="Calibri Light" w:cs="Calibri Light"/>
        </w:rPr>
        <w:t xml:space="preserve">JUSTEN FILHO, Marçal. </w:t>
      </w:r>
      <w:r w:rsidRPr="00626839">
        <w:rPr>
          <w:rFonts w:ascii="Calibri Light" w:hAnsi="Calibri Light" w:cs="Calibri Light"/>
          <w:i/>
          <w:iCs/>
        </w:rPr>
        <w:t xml:space="preserve">Comentários à </w:t>
      </w:r>
      <w:r>
        <w:rPr>
          <w:rFonts w:ascii="Calibri Light" w:hAnsi="Calibri Light" w:cs="Calibri Light"/>
          <w:i/>
          <w:iCs/>
        </w:rPr>
        <w:t>L</w:t>
      </w:r>
      <w:r w:rsidRPr="00626839">
        <w:rPr>
          <w:rFonts w:ascii="Calibri Light" w:hAnsi="Calibri Light" w:cs="Calibri Light"/>
          <w:i/>
          <w:iCs/>
        </w:rPr>
        <w:t xml:space="preserve">ei de </w:t>
      </w:r>
      <w:r>
        <w:rPr>
          <w:rFonts w:ascii="Calibri Light" w:hAnsi="Calibri Light" w:cs="Calibri Light"/>
          <w:i/>
          <w:iCs/>
        </w:rPr>
        <w:t>L</w:t>
      </w:r>
      <w:r w:rsidRPr="00626839">
        <w:rPr>
          <w:rFonts w:ascii="Calibri Light" w:hAnsi="Calibri Light" w:cs="Calibri Light"/>
          <w:i/>
          <w:iCs/>
        </w:rPr>
        <w:t xml:space="preserve">icitações e </w:t>
      </w:r>
      <w:r>
        <w:rPr>
          <w:rFonts w:ascii="Calibri Light" w:hAnsi="Calibri Light" w:cs="Calibri Light"/>
          <w:i/>
          <w:iCs/>
        </w:rPr>
        <w:t>Contratações A</w:t>
      </w:r>
      <w:r w:rsidRPr="00626839">
        <w:rPr>
          <w:rFonts w:ascii="Calibri Light" w:hAnsi="Calibri Light" w:cs="Calibri Light"/>
          <w:i/>
          <w:iCs/>
        </w:rPr>
        <w:t>dministrativ</w:t>
      </w:r>
      <w:r>
        <w:rPr>
          <w:rFonts w:ascii="Calibri Light" w:hAnsi="Calibri Light" w:cs="Calibri Light"/>
          <w:i/>
          <w:iCs/>
        </w:rPr>
        <w:t>a</w:t>
      </w:r>
      <w:r w:rsidRPr="00626839">
        <w:rPr>
          <w:rFonts w:ascii="Calibri Light" w:hAnsi="Calibri Light" w:cs="Calibri Light"/>
          <w:i/>
          <w:iCs/>
        </w:rPr>
        <w:t>s</w:t>
      </w:r>
      <w:r>
        <w:rPr>
          <w:rFonts w:ascii="Calibri Light" w:hAnsi="Calibri Light" w:cs="Calibri Light"/>
          <w:i/>
          <w:iCs/>
        </w:rPr>
        <w:t xml:space="preserve"> – Nova Lei 14.133/2021 (livro eletrônico). </w:t>
      </w:r>
      <w:r w:rsidRPr="003E1594">
        <w:rPr>
          <w:rFonts w:ascii="Calibri Light" w:hAnsi="Calibri Light" w:cs="Calibri Light"/>
        </w:rPr>
        <w:t>2ª ed. São Paulo: Thomson Reuters Brasil, 2023.</w:t>
      </w:r>
    </w:p>
  </w:footnote>
  <w:footnote w:id="7">
    <w:p w14:paraId="3D565083" w14:textId="77777777" w:rsidR="003F7F9B" w:rsidRPr="003E1594" w:rsidRDefault="003F7F9B" w:rsidP="006A6D8E">
      <w:pPr>
        <w:pStyle w:val="Textodenotaderodap"/>
      </w:pPr>
      <w:r>
        <w:rPr>
          <w:rStyle w:val="Refdenotaderodap"/>
        </w:rPr>
        <w:footnoteRef/>
      </w:r>
      <w:r>
        <w:t xml:space="preserve"> </w:t>
      </w:r>
      <w:r w:rsidRPr="00626839">
        <w:rPr>
          <w:rFonts w:ascii="Calibri Light" w:hAnsi="Calibri Light" w:cs="Calibri Light"/>
          <w:i/>
          <w:iCs/>
        </w:rPr>
        <w:t xml:space="preserve">Comentários à </w:t>
      </w:r>
      <w:r>
        <w:rPr>
          <w:rFonts w:ascii="Calibri Light" w:hAnsi="Calibri Light" w:cs="Calibri Light"/>
          <w:i/>
          <w:iCs/>
        </w:rPr>
        <w:t>L</w:t>
      </w:r>
      <w:r w:rsidRPr="00626839">
        <w:rPr>
          <w:rFonts w:ascii="Calibri Light" w:hAnsi="Calibri Light" w:cs="Calibri Light"/>
          <w:i/>
          <w:iCs/>
        </w:rPr>
        <w:t xml:space="preserve">ei de </w:t>
      </w:r>
      <w:r>
        <w:rPr>
          <w:rFonts w:ascii="Calibri Light" w:hAnsi="Calibri Light" w:cs="Calibri Light"/>
          <w:i/>
          <w:iCs/>
        </w:rPr>
        <w:t>L</w:t>
      </w:r>
      <w:r w:rsidRPr="00626839">
        <w:rPr>
          <w:rFonts w:ascii="Calibri Light" w:hAnsi="Calibri Light" w:cs="Calibri Light"/>
          <w:i/>
          <w:iCs/>
        </w:rPr>
        <w:t xml:space="preserve">icitações e </w:t>
      </w:r>
      <w:r>
        <w:rPr>
          <w:rFonts w:ascii="Calibri Light" w:hAnsi="Calibri Light" w:cs="Calibri Light"/>
          <w:i/>
          <w:iCs/>
        </w:rPr>
        <w:t>Contratações A</w:t>
      </w:r>
      <w:r w:rsidRPr="00626839">
        <w:rPr>
          <w:rFonts w:ascii="Calibri Light" w:hAnsi="Calibri Light" w:cs="Calibri Light"/>
          <w:i/>
          <w:iCs/>
        </w:rPr>
        <w:t>dministrativ</w:t>
      </w:r>
      <w:r>
        <w:rPr>
          <w:rFonts w:ascii="Calibri Light" w:hAnsi="Calibri Light" w:cs="Calibri Light"/>
          <w:i/>
          <w:iCs/>
        </w:rPr>
        <w:t>a</w:t>
      </w:r>
      <w:r w:rsidRPr="00626839">
        <w:rPr>
          <w:rFonts w:ascii="Calibri Light" w:hAnsi="Calibri Light" w:cs="Calibri Light"/>
          <w:i/>
          <w:iCs/>
        </w:rPr>
        <w:t>s</w:t>
      </w:r>
      <w:r>
        <w:rPr>
          <w:rFonts w:ascii="Calibri Light" w:hAnsi="Calibri Light" w:cs="Calibri Light"/>
          <w:i/>
          <w:iCs/>
        </w:rPr>
        <w:t xml:space="preserve"> – Nova Lei 14.133/2021 (livro eletrônico). </w:t>
      </w:r>
      <w:r w:rsidRPr="003E1594">
        <w:rPr>
          <w:rFonts w:ascii="Calibri Light" w:hAnsi="Calibri Light" w:cs="Calibri Light"/>
        </w:rPr>
        <w:t>2ª ed. São Paulo: Thomson Reuters Brasil, 2023.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51693"/>
    <w:multiLevelType w:val="hybridMultilevel"/>
    <w:tmpl w:val="CFE88618"/>
    <w:lvl w:ilvl="0" w:tplc="C61A7F7E">
      <w:start w:val="1"/>
      <w:numFmt w:val="bullet"/>
      <w:pStyle w:val="ApLista"/>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 w15:restartNumberingAfterBreak="0">
    <w:nsid w:val="1D5C100D"/>
    <w:multiLevelType w:val="multilevel"/>
    <w:tmpl w:val="9F8A0A3C"/>
    <w:lvl w:ilvl="0">
      <w:start w:val="1"/>
      <w:numFmt w:val="decimal"/>
      <w:pStyle w:val="ApTit"/>
      <w:lvlText w:val="Nota explicativa nº %1"/>
      <w:lvlJc w:val="left"/>
      <w:pPr>
        <w:ind w:left="644" w:hanging="360"/>
      </w:pPr>
      <w:rPr>
        <w:b/>
        <w:i w:val="0"/>
      </w:rPr>
    </w:lvl>
    <w:lvl w:ilvl="1">
      <w:start w:val="1"/>
      <w:numFmt w:val="decimal"/>
      <w:lvlText w:val="%1.%2."/>
      <w:lvlJc w:val="left"/>
      <w:pPr>
        <w:ind w:left="716" w:hanging="432"/>
      </w:pPr>
      <w:rPr>
        <w:b w:val="0"/>
        <w:i w:val="0"/>
        <w:lang w:val="pt-BR"/>
      </w:rPr>
    </w:lvl>
    <w:lvl w:ilvl="2">
      <w:start w:val="1"/>
      <w:numFmt w:val="decimal"/>
      <w:lvlText w:val="%1.%2.%3."/>
      <w:lvlJc w:val="left"/>
      <w:pPr>
        <w:ind w:left="1922" w:hanging="504"/>
      </w:pPr>
    </w:lvl>
    <w:lvl w:ilvl="3">
      <w:start w:val="1"/>
      <w:numFmt w:val="decimal"/>
      <w:lvlText w:val="%1.%2.%3.%4."/>
      <w:lvlJc w:val="left"/>
      <w:pPr>
        <w:ind w:left="2491" w:hanging="648"/>
      </w:pPr>
      <w:rPr>
        <w:i w:val="0"/>
      </w:rPr>
    </w:lvl>
    <w:lvl w:ilvl="4">
      <w:start w:val="1"/>
      <w:numFmt w:val="decimal"/>
      <w:lvlText w:val="%1.%2.%3.%4.%5."/>
      <w:lvlJc w:val="left"/>
      <w:pPr>
        <w:ind w:left="3485"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3AA4DE4"/>
    <w:multiLevelType w:val="hybridMultilevel"/>
    <w:tmpl w:val="C0FE8B94"/>
    <w:lvl w:ilvl="0" w:tplc="FFFFFFFF">
      <w:start w:val="1"/>
      <w:numFmt w:val="decimal"/>
      <w:pStyle w:val="PargrafoParecer"/>
      <w:lvlText w:val="%1."/>
      <w:lvlJc w:val="left"/>
      <w:pPr>
        <w:ind w:left="759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6947061D"/>
    <w:multiLevelType w:val="multilevel"/>
    <w:tmpl w:val="97CAC798"/>
    <w:lvl w:ilvl="0">
      <w:start w:val="1"/>
      <w:numFmt w:val="decimal"/>
      <w:pStyle w:val="Ttulo1"/>
      <w:lvlText w:val="%1."/>
      <w:lvlJc w:val="left"/>
      <w:pPr>
        <w:ind w:left="720" w:hanging="360"/>
      </w:pPr>
    </w:lvl>
    <w:lvl w:ilvl="1">
      <w:start w:val="1"/>
      <w:numFmt w:val="decimal"/>
      <w:lvlText w:val="%1.%2."/>
      <w:lvlJc w:val="left"/>
      <w:pPr>
        <w:ind w:left="765" w:hanging="40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6B1A15DB"/>
    <w:multiLevelType w:val="multilevel"/>
    <w:tmpl w:val="A63A9EC0"/>
    <w:lvl w:ilvl="0">
      <w:start w:val="1"/>
      <w:numFmt w:val="decimal"/>
      <w:lvlText w:val="%1."/>
      <w:lvlJc w:val="left"/>
      <w:pPr>
        <w:ind w:left="720" w:hanging="360"/>
      </w:pPr>
      <w:rPr>
        <w:rFonts w:hint="default"/>
        <w:color w:val="000000"/>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09386668">
    <w:abstractNumId w:val="2"/>
  </w:num>
  <w:num w:numId="2" w16cid:durableId="1854293789">
    <w:abstractNumId w:val="4"/>
  </w:num>
  <w:num w:numId="3" w16cid:durableId="1264143786">
    <w:abstractNumId w:val="3"/>
  </w:num>
  <w:num w:numId="4" w16cid:durableId="885412354">
    <w:abstractNumId w:val="1"/>
  </w:num>
  <w:num w:numId="5" w16cid:durableId="1194853773">
    <w:abstractNumId w:val="0"/>
  </w:num>
  <w:num w:numId="6" w16cid:durableId="1400782132">
    <w:abstractNumId w:val="1"/>
  </w:num>
  <w:num w:numId="7" w16cid:durableId="2128313695">
    <w:abstractNumId w:val="5"/>
  </w:num>
  <w:num w:numId="8" w16cid:durableId="1618565573">
    <w:abstractNumId w:val="1"/>
  </w:num>
  <w:num w:numId="9" w16cid:durableId="218398506">
    <w:abstractNumId w:val="1"/>
  </w:num>
  <w:num w:numId="10" w16cid:durableId="1143935736">
    <w:abstractNumId w:val="1"/>
  </w:num>
  <w:num w:numId="11" w16cid:durableId="777792588">
    <w:abstractNumId w:val="1"/>
  </w:num>
  <w:num w:numId="12" w16cid:durableId="393431499">
    <w:abstractNumId w:val="1"/>
  </w:num>
  <w:num w:numId="13" w16cid:durableId="1122765776">
    <w:abstractNumId w:val="1"/>
  </w:num>
  <w:num w:numId="14" w16cid:durableId="789280489">
    <w:abstractNumId w:val="1"/>
  </w:num>
  <w:num w:numId="15" w16cid:durableId="1722746744">
    <w:abstractNumId w:val="1"/>
  </w:num>
  <w:num w:numId="16" w16cid:durableId="1236470369">
    <w:abstractNumId w:val="1"/>
  </w:num>
  <w:num w:numId="17" w16cid:durableId="1732919745">
    <w:abstractNumId w:val="1"/>
  </w:num>
  <w:num w:numId="18" w16cid:durableId="1188329717">
    <w:abstractNumId w:val="1"/>
  </w:num>
  <w:num w:numId="19" w16cid:durableId="576087612">
    <w:abstractNumId w:val="1"/>
  </w:num>
  <w:num w:numId="20" w16cid:durableId="409692516">
    <w:abstractNumId w:val="1"/>
  </w:num>
  <w:num w:numId="21" w16cid:durableId="1951013226">
    <w:abstractNumId w:val="1"/>
  </w:num>
  <w:num w:numId="22" w16cid:durableId="1004551421">
    <w:abstractNumId w:val="1"/>
  </w:num>
  <w:num w:numId="23" w16cid:durableId="1327635008">
    <w:abstractNumId w:val="1"/>
  </w:num>
  <w:num w:numId="24" w16cid:durableId="1223369969">
    <w:abstractNumId w:val="1"/>
  </w:num>
  <w:num w:numId="25" w16cid:durableId="1720736902">
    <w:abstractNumId w:val="1"/>
  </w:num>
  <w:num w:numId="26" w16cid:durableId="287711200">
    <w:abstractNumId w:val="1"/>
  </w:num>
  <w:num w:numId="27" w16cid:durableId="1902014865">
    <w:abstractNumId w:val="1"/>
  </w:num>
  <w:num w:numId="28" w16cid:durableId="388966419">
    <w:abstractNumId w:val="1"/>
  </w:num>
  <w:num w:numId="29" w16cid:durableId="2014146005">
    <w:abstractNumId w:val="3"/>
  </w:num>
  <w:num w:numId="30" w16cid:durableId="2105950404">
    <w:abstractNumId w:val="3"/>
  </w:num>
  <w:num w:numId="31" w16cid:durableId="1502353549">
    <w:abstractNumId w:val="4"/>
  </w:num>
  <w:num w:numId="32" w16cid:durableId="1522551975">
    <w:abstractNumId w:val="1"/>
  </w:num>
  <w:num w:numId="33" w16cid:durableId="2049450510">
    <w:abstractNumId w:val="1"/>
  </w:num>
  <w:num w:numId="34" w16cid:durableId="744718032">
    <w:abstractNumId w:val="1"/>
  </w:num>
  <w:num w:numId="35" w16cid:durableId="97572491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EC3"/>
    <w:rsid w:val="000006FB"/>
    <w:rsid w:val="00001F07"/>
    <w:rsid w:val="00002F0E"/>
    <w:rsid w:val="00010F33"/>
    <w:rsid w:val="000115CF"/>
    <w:rsid w:val="00013641"/>
    <w:rsid w:val="0001400B"/>
    <w:rsid w:val="000159BE"/>
    <w:rsid w:val="00016B3E"/>
    <w:rsid w:val="000233B8"/>
    <w:rsid w:val="00023811"/>
    <w:rsid w:val="000240B0"/>
    <w:rsid w:val="0002587D"/>
    <w:rsid w:val="00031DF2"/>
    <w:rsid w:val="000324EF"/>
    <w:rsid w:val="000333C5"/>
    <w:rsid w:val="000342F3"/>
    <w:rsid w:val="00035980"/>
    <w:rsid w:val="00037F72"/>
    <w:rsid w:val="00040A9F"/>
    <w:rsid w:val="00042B8B"/>
    <w:rsid w:val="00043EB2"/>
    <w:rsid w:val="000463F8"/>
    <w:rsid w:val="00046E6C"/>
    <w:rsid w:val="000471E5"/>
    <w:rsid w:val="000522CE"/>
    <w:rsid w:val="00054039"/>
    <w:rsid w:val="00055520"/>
    <w:rsid w:val="000558AF"/>
    <w:rsid w:val="00057635"/>
    <w:rsid w:val="0006249C"/>
    <w:rsid w:val="0006348A"/>
    <w:rsid w:val="00067090"/>
    <w:rsid w:val="00071797"/>
    <w:rsid w:val="00072DEC"/>
    <w:rsid w:val="000769B8"/>
    <w:rsid w:val="00082596"/>
    <w:rsid w:val="00083471"/>
    <w:rsid w:val="000836C4"/>
    <w:rsid w:val="00084086"/>
    <w:rsid w:val="00084DBE"/>
    <w:rsid w:val="00085498"/>
    <w:rsid w:val="00085B34"/>
    <w:rsid w:val="00086F72"/>
    <w:rsid w:val="000908F8"/>
    <w:rsid w:val="00090BB5"/>
    <w:rsid w:val="00091BC9"/>
    <w:rsid w:val="00094F35"/>
    <w:rsid w:val="000953DE"/>
    <w:rsid w:val="00096467"/>
    <w:rsid w:val="0009670C"/>
    <w:rsid w:val="000969B8"/>
    <w:rsid w:val="00097816"/>
    <w:rsid w:val="000A081A"/>
    <w:rsid w:val="000A282E"/>
    <w:rsid w:val="000A38B0"/>
    <w:rsid w:val="000A448D"/>
    <w:rsid w:val="000B0BA3"/>
    <w:rsid w:val="000B0CEF"/>
    <w:rsid w:val="000B4E7E"/>
    <w:rsid w:val="000B6EE3"/>
    <w:rsid w:val="000C0D34"/>
    <w:rsid w:val="000C2BC8"/>
    <w:rsid w:val="000C59F6"/>
    <w:rsid w:val="000C5AD6"/>
    <w:rsid w:val="000C71D1"/>
    <w:rsid w:val="000C7FB8"/>
    <w:rsid w:val="000D112E"/>
    <w:rsid w:val="000D14B9"/>
    <w:rsid w:val="000D1ED9"/>
    <w:rsid w:val="000E1CAD"/>
    <w:rsid w:val="000E2277"/>
    <w:rsid w:val="000E5537"/>
    <w:rsid w:val="000E7606"/>
    <w:rsid w:val="000F360D"/>
    <w:rsid w:val="000F4715"/>
    <w:rsid w:val="000F571C"/>
    <w:rsid w:val="000F58D0"/>
    <w:rsid w:val="000F5A10"/>
    <w:rsid w:val="000F624B"/>
    <w:rsid w:val="000F7A2A"/>
    <w:rsid w:val="001010FA"/>
    <w:rsid w:val="00101868"/>
    <w:rsid w:val="00102D72"/>
    <w:rsid w:val="00105D0F"/>
    <w:rsid w:val="00113A60"/>
    <w:rsid w:val="001151BC"/>
    <w:rsid w:val="001224A0"/>
    <w:rsid w:val="00122AA1"/>
    <w:rsid w:val="00122ECF"/>
    <w:rsid w:val="0012358B"/>
    <w:rsid w:val="00126782"/>
    <w:rsid w:val="00131C8D"/>
    <w:rsid w:val="001334EC"/>
    <w:rsid w:val="0013591A"/>
    <w:rsid w:val="00135DCF"/>
    <w:rsid w:val="00136F8F"/>
    <w:rsid w:val="00140063"/>
    <w:rsid w:val="00140381"/>
    <w:rsid w:val="00143AF6"/>
    <w:rsid w:val="00144EF3"/>
    <w:rsid w:val="00145998"/>
    <w:rsid w:val="00146162"/>
    <w:rsid w:val="0014626A"/>
    <w:rsid w:val="00150313"/>
    <w:rsid w:val="001552F5"/>
    <w:rsid w:val="00155592"/>
    <w:rsid w:val="00156498"/>
    <w:rsid w:val="00162EE4"/>
    <w:rsid w:val="00164745"/>
    <w:rsid w:val="00164E60"/>
    <w:rsid w:val="00166741"/>
    <w:rsid w:val="001720BC"/>
    <w:rsid w:val="001733DA"/>
    <w:rsid w:val="00176572"/>
    <w:rsid w:val="00176EAB"/>
    <w:rsid w:val="00180671"/>
    <w:rsid w:val="00181B9D"/>
    <w:rsid w:val="001841D3"/>
    <w:rsid w:val="001902CF"/>
    <w:rsid w:val="00190419"/>
    <w:rsid w:val="00190820"/>
    <w:rsid w:val="001911F1"/>
    <w:rsid w:val="0019603F"/>
    <w:rsid w:val="0019759D"/>
    <w:rsid w:val="001A06DE"/>
    <w:rsid w:val="001A0B4C"/>
    <w:rsid w:val="001A0D92"/>
    <w:rsid w:val="001A4AA4"/>
    <w:rsid w:val="001A5069"/>
    <w:rsid w:val="001A5AB8"/>
    <w:rsid w:val="001A641D"/>
    <w:rsid w:val="001A6E3E"/>
    <w:rsid w:val="001A798E"/>
    <w:rsid w:val="001B2956"/>
    <w:rsid w:val="001B32A6"/>
    <w:rsid w:val="001B7DF9"/>
    <w:rsid w:val="001C0A81"/>
    <w:rsid w:val="001C3AB1"/>
    <w:rsid w:val="001C433E"/>
    <w:rsid w:val="001C575A"/>
    <w:rsid w:val="001C7F6B"/>
    <w:rsid w:val="001D00B9"/>
    <w:rsid w:val="001D15D9"/>
    <w:rsid w:val="001D24D7"/>
    <w:rsid w:val="001D3403"/>
    <w:rsid w:val="001D3EF1"/>
    <w:rsid w:val="001D52AC"/>
    <w:rsid w:val="001E3672"/>
    <w:rsid w:val="001E4088"/>
    <w:rsid w:val="001E51BD"/>
    <w:rsid w:val="001E704A"/>
    <w:rsid w:val="001E7219"/>
    <w:rsid w:val="001F0E0D"/>
    <w:rsid w:val="001F446F"/>
    <w:rsid w:val="001F50CA"/>
    <w:rsid w:val="001F5390"/>
    <w:rsid w:val="001F71EC"/>
    <w:rsid w:val="001F7233"/>
    <w:rsid w:val="0020085F"/>
    <w:rsid w:val="00201481"/>
    <w:rsid w:val="0020544E"/>
    <w:rsid w:val="00207892"/>
    <w:rsid w:val="00210028"/>
    <w:rsid w:val="002106CD"/>
    <w:rsid w:val="0021236F"/>
    <w:rsid w:val="00213AC0"/>
    <w:rsid w:val="00215D4D"/>
    <w:rsid w:val="00216E8B"/>
    <w:rsid w:val="002209D3"/>
    <w:rsid w:val="00222F8F"/>
    <w:rsid w:val="002240A4"/>
    <w:rsid w:val="00225713"/>
    <w:rsid w:val="0022587C"/>
    <w:rsid w:val="0023170B"/>
    <w:rsid w:val="00231ABD"/>
    <w:rsid w:val="002337EA"/>
    <w:rsid w:val="00234F78"/>
    <w:rsid w:val="00235D35"/>
    <w:rsid w:val="00235F4D"/>
    <w:rsid w:val="00241966"/>
    <w:rsid w:val="00242FF2"/>
    <w:rsid w:val="002447D6"/>
    <w:rsid w:val="002451BE"/>
    <w:rsid w:val="00245938"/>
    <w:rsid w:val="00247094"/>
    <w:rsid w:val="00247224"/>
    <w:rsid w:val="00253C03"/>
    <w:rsid w:val="00253F39"/>
    <w:rsid w:val="0025785B"/>
    <w:rsid w:val="00257F8F"/>
    <w:rsid w:val="002601A2"/>
    <w:rsid w:val="00262A5D"/>
    <w:rsid w:val="00266924"/>
    <w:rsid w:val="00270334"/>
    <w:rsid w:val="00270ABB"/>
    <w:rsid w:val="00272C2C"/>
    <w:rsid w:val="00274074"/>
    <w:rsid w:val="002769F9"/>
    <w:rsid w:val="00280FCD"/>
    <w:rsid w:val="002818F8"/>
    <w:rsid w:val="0028478A"/>
    <w:rsid w:val="00284AEA"/>
    <w:rsid w:val="002858D5"/>
    <w:rsid w:val="00285A01"/>
    <w:rsid w:val="00287A2B"/>
    <w:rsid w:val="002915D8"/>
    <w:rsid w:val="0029272B"/>
    <w:rsid w:val="00292E7F"/>
    <w:rsid w:val="0029485A"/>
    <w:rsid w:val="00295029"/>
    <w:rsid w:val="00295C5D"/>
    <w:rsid w:val="00296395"/>
    <w:rsid w:val="00297A1D"/>
    <w:rsid w:val="00297ABB"/>
    <w:rsid w:val="002A03F2"/>
    <w:rsid w:val="002A1140"/>
    <w:rsid w:val="002A346D"/>
    <w:rsid w:val="002A6C6B"/>
    <w:rsid w:val="002B0400"/>
    <w:rsid w:val="002B080F"/>
    <w:rsid w:val="002B0A79"/>
    <w:rsid w:val="002B2C01"/>
    <w:rsid w:val="002B3F33"/>
    <w:rsid w:val="002B650F"/>
    <w:rsid w:val="002B6871"/>
    <w:rsid w:val="002B7255"/>
    <w:rsid w:val="002B74B0"/>
    <w:rsid w:val="002B7E2A"/>
    <w:rsid w:val="002C3D84"/>
    <w:rsid w:val="002C667B"/>
    <w:rsid w:val="002C7A1E"/>
    <w:rsid w:val="002CAB0E"/>
    <w:rsid w:val="002D0E20"/>
    <w:rsid w:val="002D4BD9"/>
    <w:rsid w:val="002D5CCB"/>
    <w:rsid w:val="002E0F39"/>
    <w:rsid w:val="002E10C4"/>
    <w:rsid w:val="002E2180"/>
    <w:rsid w:val="002E2F3E"/>
    <w:rsid w:val="002E358C"/>
    <w:rsid w:val="002E434E"/>
    <w:rsid w:val="002E65D5"/>
    <w:rsid w:val="002F054C"/>
    <w:rsid w:val="00301F41"/>
    <w:rsid w:val="00306D6B"/>
    <w:rsid w:val="0030738A"/>
    <w:rsid w:val="0030750E"/>
    <w:rsid w:val="00314595"/>
    <w:rsid w:val="00314E4D"/>
    <w:rsid w:val="003173B6"/>
    <w:rsid w:val="00317C19"/>
    <w:rsid w:val="00321691"/>
    <w:rsid w:val="00321FA9"/>
    <w:rsid w:val="00322E69"/>
    <w:rsid w:val="0032725E"/>
    <w:rsid w:val="00331A04"/>
    <w:rsid w:val="00332138"/>
    <w:rsid w:val="00332308"/>
    <w:rsid w:val="003346D0"/>
    <w:rsid w:val="00337ED6"/>
    <w:rsid w:val="003400AA"/>
    <w:rsid w:val="00340CC9"/>
    <w:rsid w:val="00340FC5"/>
    <w:rsid w:val="00343D1B"/>
    <w:rsid w:val="00345A81"/>
    <w:rsid w:val="00345C6F"/>
    <w:rsid w:val="0034723A"/>
    <w:rsid w:val="00347285"/>
    <w:rsid w:val="00347CB2"/>
    <w:rsid w:val="00352548"/>
    <w:rsid w:val="003525A1"/>
    <w:rsid w:val="00355235"/>
    <w:rsid w:val="0035774E"/>
    <w:rsid w:val="00357E9B"/>
    <w:rsid w:val="00361708"/>
    <w:rsid w:val="00361C55"/>
    <w:rsid w:val="00363027"/>
    <w:rsid w:val="003632D8"/>
    <w:rsid w:val="003633E1"/>
    <w:rsid w:val="003676B8"/>
    <w:rsid w:val="00370E4D"/>
    <w:rsid w:val="00372A1D"/>
    <w:rsid w:val="00375294"/>
    <w:rsid w:val="00375318"/>
    <w:rsid w:val="00380330"/>
    <w:rsid w:val="003814E3"/>
    <w:rsid w:val="003859A0"/>
    <w:rsid w:val="00386752"/>
    <w:rsid w:val="00393672"/>
    <w:rsid w:val="003936CB"/>
    <w:rsid w:val="003936DC"/>
    <w:rsid w:val="00393940"/>
    <w:rsid w:val="00394092"/>
    <w:rsid w:val="0039497E"/>
    <w:rsid w:val="0039509F"/>
    <w:rsid w:val="003A0B5D"/>
    <w:rsid w:val="003A18FE"/>
    <w:rsid w:val="003A6C3C"/>
    <w:rsid w:val="003B0AF6"/>
    <w:rsid w:val="003B43F8"/>
    <w:rsid w:val="003B4BF9"/>
    <w:rsid w:val="003B524D"/>
    <w:rsid w:val="003C1E1F"/>
    <w:rsid w:val="003C2143"/>
    <w:rsid w:val="003C485B"/>
    <w:rsid w:val="003C7525"/>
    <w:rsid w:val="003C7979"/>
    <w:rsid w:val="003D10B9"/>
    <w:rsid w:val="003E0861"/>
    <w:rsid w:val="003E10D9"/>
    <w:rsid w:val="003E1852"/>
    <w:rsid w:val="003F3598"/>
    <w:rsid w:val="003F3D51"/>
    <w:rsid w:val="003F7F9B"/>
    <w:rsid w:val="00403158"/>
    <w:rsid w:val="00404AD5"/>
    <w:rsid w:val="004051D9"/>
    <w:rsid w:val="0040712B"/>
    <w:rsid w:val="00411767"/>
    <w:rsid w:val="00411967"/>
    <w:rsid w:val="004131F9"/>
    <w:rsid w:val="00415C28"/>
    <w:rsid w:val="004204B2"/>
    <w:rsid w:val="00422F67"/>
    <w:rsid w:val="00430515"/>
    <w:rsid w:val="00431353"/>
    <w:rsid w:val="00432724"/>
    <w:rsid w:val="0043468C"/>
    <w:rsid w:val="00434898"/>
    <w:rsid w:val="00435428"/>
    <w:rsid w:val="00440881"/>
    <w:rsid w:val="0044511D"/>
    <w:rsid w:val="00451BA5"/>
    <w:rsid w:val="004557A9"/>
    <w:rsid w:val="004559FC"/>
    <w:rsid w:val="00457ED4"/>
    <w:rsid w:val="004606FC"/>
    <w:rsid w:val="0046140E"/>
    <w:rsid w:val="00462144"/>
    <w:rsid w:val="00463BDE"/>
    <w:rsid w:val="00463C17"/>
    <w:rsid w:val="00465855"/>
    <w:rsid w:val="0047546E"/>
    <w:rsid w:val="00476052"/>
    <w:rsid w:val="00482F44"/>
    <w:rsid w:val="004845E2"/>
    <w:rsid w:val="00490A3C"/>
    <w:rsid w:val="0049192F"/>
    <w:rsid w:val="00492793"/>
    <w:rsid w:val="0049541F"/>
    <w:rsid w:val="004956C9"/>
    <w:rsid w:val="004A06CA"/>
    <w:rsid w:val="004C4264"/>
    <w:rsid w:val="004C6D17"/>
    <w:rsid w:val="004D045C"/>
    <w:rsid w:val="004D0A6A"/>
    <w:rsid w:val="004D33B8"/>
    <w:rsid w:val="004D38ED"/>
    <w:rsid w:val="004D4EB9"/>
    <w:rsid w:val="004D5460"/>
    <w:rsid w:val="004D651B"/>
    <w:rsid w:val="004D78F1"/>
    <w:rsid w:val="004E0CBC"/>
    <w:rsid w:val="004E50A9"/>
    <w:rsid w:val="004E56DF"/>
    <w:rsid w:val="004F1449"/>
    <w:rsid w:val="004F2005"/>
    <w:rsid w:val="004F2719"/>
    <w:rsid w:val="004F3EB0"/>
    <w:rsid w:val="004F7808"/>
    <w:rsid w:val="00500711"/>
    <w:rsid w:val="00501A6F"/>
    <w:rsid w:val="005078A2"/>
    <w:rsid w:val="005104C9"/>
    <w:rsid w:val="00510E6F"/>
    <w:rsid w:val="00512167"/>
    <w:rsid w:val="00513E58"/>
    <w:rsid w:val="005149EE"/>
    <w:rsid w:val="00516C89"/>
    <w:rsid w:val="00516F68"/>
    <w:rsid w:val="00522368"/>
    <w:rsid w:val="00523CFA"/>
    <w:rsid w:val="005247D4"/>
    <w:rsid w:val="00531E7A"/>
    <w:rsid w:val="00532232"/>
    <w:rsid w:val="005325EB"/>
    <w:rsid w:val="00533725"/>
    <w:rsid w:val="0053583C"/>
    <w:rsid w:val="00537078"/>
    <w:rsid w:val="00540CC3"/>
    <w:rsid w:val="00540E73"/>
    <w:rsid w:val="0054724C"/>
    <w:rsid w:val="00547AF1"/>
    <w:rsid w:val="005500BE"/>
    <w:rsid w:val="00550DDE"/>
    <w:rsid w:val="00550DF7"/>
    <w:rsid w:val="00552F0D"/>
    <w:rsid w:val="00554238"/>
    <w:rsid w:val="00554E88"/>
    <w:rsid w:val="00556960"/>
    <w:rsid w:val="00557196"/>
    <w:rsid w:val="005574FB"/>
    <w:rsid w:val="00557A2D"/>
    <w:rsid w:val="00560AED"/>
    <w:rsid w:val="00561435"/>
    <w:rsid w:val="00561931"/>
    <w:rsid w:val="00562A0F"/>
    <w:rsid w:val="005631DD"/>
    <w:rsid w:val="00564E1D"/>
    <w:rsid w:val="00565DDC"/>
    <w:rsid w:val="00573761"/>
    <w:rsid w:val="00574806"/>
    <w:rsid w:val="00576A15"/>
    <w:rsid w:val="005808FB"/>
    <w:rsid w:val="0058259D"/>
    <w:rsid w:val="00582B08"/>
    <w:rsid w:val="00582F42"/>
    <w:rsid w:val="005840D9"/>
    <w:rsid w:val="0058475A"/>
    <w:rsid w:val="00586B52"/>
    <w:rsid w:val="005872E5"/>
    <w:rsid w:val="005909FD"/>
    <w:rsid w:val="00594C1C"/>
    <w:rsid w:val="00594F3B"/>
    <w:rsid w:val="005A08D3"/>
    <w:rsid w:val="005A2FE4"/>
    <w:rsid w:val="005A34A2"/>
    <w:rsid w:val="005B2CE9"/>
    <w:rsid w:val="005B75E4"/>
    <w:rsid w:val="005C0F55"/>
    <w:rsid w:val="005C1C51"/>
    <w:rsid w:val="005C304D"/>
    <w:rsid w:val="005C3852"/>
    <w:rsid w:val="005C5B4A"/>
    <w:rsid w:val="005C6523"/>
    <w:rsid w:val="005C6A3F"/>
    <w:rsid w:val="005D4E94"/>
    <w:rsid w:val="005D57C2"/>
    <w:rsid w:val="005D603D"/>
    <w:rsid w:val="005D6407"/>
    <w:rsid w:val="005D7412"/>
    <w:rsid w:val="005D7E75"/>
    <w:rsid w:val="005E3005"/>
    <w:rsid w:val="005E5838"/>
    <w:rsid w:val="005E6A34"/>
    <w:rsid w:val="005E7559"/>
    <w:rsid w:val="005E76C5"/>
    <w:rsid w:val="005E7784"/>
    <w:rsid w:val="005E7BF3"/>
    <w:rsid w:val="005F536E"/>
    <w:rsid w:val="005F795E"/>
    <w:rsid w:val="006014BF"/>
    <w:rsid w:val="00603D1F"/>
    <w:rsid w:val="0060402B"/>
    <w:rsid w:val="00606182"/>
    <w:rsid w:val="00606544"/>
    <w:rsid w:val="00606E5F"/>
    <w:rsid w:val="006160A5"/>
    <w:rsid w:val="00616F3D"/>
    <w:rsid w:val="006171D3"/>
    <w:rsid w:val="006207AE"/>
    <w:rsid w:val="00622554"/>
    <w:rsid w:val="00622D67"/>
    <w:rsid w:val="00622FF2"/>
    <w:rsid w:val="0062571C"/>
    <w:rsid w:val="00625E3E"/>
    <w:rsid w:val="00625FF1"/>
    <w:rsid w:val="006306D5"/>
    <w:rsid w:val="00631916"/>
    <w:rsid w:val="006319CE"/>
    <w:rsid w:val="00634707"/>
    <w:rsid w:val="00636EC2"/>
    <w:rsid w:val="006376D1"/>
    <w:rsid w:val="00640FA4"/>
    <w:rsid w:val="006418EB"/>
    <w:rsid w:val="006420D2"/>
    <w:rsid w:val="00644827"/>
    <w:rsid w:val="00645C0D"/>
    <w:rsid w:val="00646189"/>
    <w:rsid w:val="00650901"/>
    <w:rsid w:val="006527AF"/>
    <w:rsid w:val="006656A3"/>
    <w:rsid w:val="006703E3"/>
    <w:rsid w:val="00670474"/>
    <w:rsid w:val="00672818"/>
    <w:rsid w:val="00676125"/>
    <w:rsid w:val="00682C33"/>
    <w:rsid w:val="00685E4C"/>
    <w:rsid w:val="0068735D"/>
    <w:rsid w:val="00687949"/>
    <w:rsid w:val="00690EB3"/>
    <w:rsid w:val="00691212"/>
    <w:rsid w:val="006964EF"/>
    <w:rsid w:val="006A29A9"/>
    <w:rsid w:val="006A6D8E"/>
    <w:rsid w:val="006B0B2D"/>
    <w:rsid w:val="006B44A8"/>
    <w:rsid w:val="006B4DBF"/>
    <w:rsid w:val="006B7F18"/>
    <w:rsid w:val="006C3932"/>
    <w:rsid w:val="006C4E13"/>
    <w:rsid w:val="006C6E38"/>
    <w:rsid w:val="006D1C83"/>
    <w:rsid w:val="006D6F12"/>
    <w:rsid w:val="006D73CB"/>
    <w:rsid w:val="006D744A"/>
    <w:rsid w:val="006E064A"/>
    <w:rsid w:val="006E3051"/>
    <w:rsid w:val="006F1607"/>
    <w:rsid w:val="00702059"/>
    <w:rsid w:val="00702A44"/>
    <w:rsid w:val="00702D6D"/>
    <w:rsid w:val="007036AA"/>
    <w:rsid w:val="00704825"/>
    <w:rsid w:val="00705638"/>
    <w:rsid w:val="007064AE"/>
    <w:rsid w:val="007068C6"/>
    <w:rsid w:val="0071257D"/>
    <w:rsid w:val="007170BB"/>
    <w:rsid w:val="007209F6"/>
    <w:rsid w:val="0072482B"/>
    <w:rsid w:val="007251D7"/>
    <w:rsid w:val="007261C9"/>
    <w:rsid w:val="00727D41"/>
    <w:rsid w:val="007306CC"/>
    <w:rsid w:val="007361F2"/>
    <w:rsid w:val="007375C5"/>
    <w:rsid w:val="007401C8"/>
    <w:rsid w:val="007403BE"/>
    <w:rsid w:val="0074085E"/>
    <w:rsid w:val="007412E5"/>
    <w:rsid w:val="00742270"/>
    <w:rsid w:val="00743698"/>
    <w:rsid w:val="007477BF"/>
    <w:rsid w:val="00751553"/>
    <w:rsid w:val="007522DA"/>
    <w:rsid w:val="007651FA"/>
    <w:rsid w:val="0076561B"/>
    <w:rsid w:val="00767EC5"/>
    <w:rsid w:val="0077138A"/>
    <w:rsid w:val="007715BF"/>
    <w:rsid w:val="00773404"/>
    <w:rsid w:val="00774248"/>
    <w:rsid w:val="00774D26"/>
    <w:rsid w:val="007774C0"/>
    <w:rsid w:val="007803B9"/>
    <w:rsid w:val="00781343"/>
    <w:rsid w:val="007822F6"/>
    <w:rsid w:val="00790602"/>
    <w:rsid w:val="007971BF"/>
    <w:rsid w:val="007977AF"/>
    <w:rsid w:val="007A0489"/>
    <w:rsid w:val="007B032E"/>
    <w:rsid w:val="007B1933"/>
    <w:rsid w:val="007B2083"/>
    <w:rsid w:val="007B31C6"/>
    <w:rsid w:val="007B3807"/>
    <w:rsid w:val="007B5044"/>
    <w:rsid w:val="007B7C9A"/>
    <w:rsid w:val="007C0751"/>
    <w:rsid w:val="007C1A57"/>
    <w:rsid w:val="007C1C54"/>
    <w:rsid w:val="007C1FD5"/>
    <w:rsid w:val="007C23A6"/>
    <w:rsid w:val="007C2F9E"/>
    <w:rsid w:val="007C3AD7"/>
    <w:rsid w:val="007C759E"/>
    <w:rsid w:val="007D0A38"/>
    <w:rsid w:val="007D1829"/>
    <w:rsid w:val="007D2FBF"/>
    <w:rsid w:val="007D335D"/>
    <w:rsid w:val="007D4692"/>
    <w:rsid w:val="007D6997"/>
    <w:rsid w:val="007D7E25"/>
    <w:rsid w:val="007E06D2"/>
    <w:rsid w:val="007E128F"/>
    <w:rsid w:val="007E20D7"/>
    <w:rsid w:val="007E2856"/>
    <w:rsid w:val="007E7AA4"/>
    <w:rsid w:val="007E7F32"/>
    <w:rsid w:val="007F40EB"/>
    <w:rsid w:val="007F5587"/>
    <w:rsid w:val="0080231B"/>
    <w:rsid w:val="00804DDD"/>
    <w:rsid w:val="00806C87"/>
    <w:rsid w:val="00807E90"/>
    <w:rsid w:val="00811048"/>
    <w:rsid w:val="00812324"/>
    <w:rsid w:val="00812E62"/>
    <w:rsid w:val="00815272"/>
    <w:rsid w:val="00817C8B"/>
    <w:rsid w:val="00817FBF"/>
    <w:rsid w:val="00820DFD"/>
    <w:rsid w:val="0082113C"/>
    <w:rsid w:val="008216F7"/>
    <w:rsid w:val="008226BD"/>
    <w:rsid w:val="008249FB"/>
    <w:rsid w:val="008313DC"/>
    <w:rsid w:val="0083390D"/>
    <w:rsid w:val="00833B78"/>
    <w:rsid w:val="00834445"/>
    <w:rsid w:val="0083469E"/>
    <w:rsid w:val="00835EB9"/>
    <w:rsid w:val="00840C31"/>
    <w:rsid w:val="00841492"/>
    <w:rsid w:val="00842D72"/>
    <w:rsid w:val="0084335E"/>
    <w:rsid w:val="008440D0"/>
    <w:rsid w:val="00844900"/>
    <w:rsid w:val="008456A9"/>
    <w:rsid w:val="00846340"/>
    <w:rsid w:val="00846D4F"/>
    <w:rsid w:val="00851184"/>
    <w:rsid w:val="0085175A"/>
    <w:rsid w:val="00851A7D"/>
    <w:rsid w:val="008520E8"/>
    <w:rsid w:val="0085476C"/>
    <w:rsid w:val="00854B86"/>
    <w:rsid w:val="00854BE1"/>
    <w:rsid w:val="00856116"/>
    <w:rsid w:val="008563E7"/>
    <w:rsid w:val="0086130E"/>
    <w:rsid w:val="00861CD4"/>
    <w:rsid w:val="00864D51"/>
    <w:rsid w:val="008666F2"/>
    <w:rsid w:val="00866716"/>
    <w:rsid w:val="00867E75"/>
    <w:rsid w:val="00867EB0"/>
    <w:rsid w:val="00871589"/>
    <w:rsid w:val="00871617"/>
    <w:rsid w:val="0087208A"/>
    <w:rsid w:val="00873A6B"/>
    <w:rsid w:val="0087695C"/>
    <w:rsid w:val="008778EE"/>
    <w:rsid w:val="00880EE9"/>
    <w:rsid w:val="00886ABE"/>
    <w:rsid w:val="008875FC"/>
    <w:rsid w:val="0088763D"/>
    <w:rsid w:val="00887F32"/>
    <w:rsid w:val="00891652"/>
    <w:rsid w:val="00892EDE"/>
    <w:rsid w:val="00893922"/>
    <w:rsid w:val="008967D0"/>
    <w:rsid w:val="00897C1B"/>
    <w:rsid w:val="008A004C"/>
    <w:rsid w:val="008A052D"/>
    <w:rsid w:val="008A3493"/>
    <w:rsid w:val="008A546E"/>
    <w:rsid w:val="008A6470"/>
    <w:rsid w:val="008A76D0"/>
    <w:rsid w:val="008B0ABE"/>
    <w:rsid w:val="008B1F76"/>
    <w:rsid w:val="008B20FB"/>
    <w:rsid w:val="008B495C"/>
    <w:rsid w:val="008C077E"/>
    <w:rsid w:val="008C1588"/>
    <w:rsid w:val="008C15D7"/>
    <w:rsid w:val="008C4B9D"/>
    <w:rsid w:val="008C514E"/>
    <w:rsid w:val="008D102A"/>
    <w:rsid w:val="008D1C62"/>
    <w:rsid w:val="008D472A"/>
    <w:rsid w:val="008D4A50"/>
    <w:rsid w:val="008D6D97"/>
    <w:rsid w:val="008E0428"/>
    <w:rsid w:val="008E1760"/>
    <w:rsid w:val="008E2EA2"/>
    <w:rsid w:val="008E37D1"/>
    <w:rsid w:val="008E52B7"/>
    <w:rsid w:val="008F133B"/>
    <w:rsid w:val="008F5622"/>
    <w:rsid w:val="008F722B"/>
    <w:rsid w:val="008F7DCC"/>
    <w:rsid w:val="009006EC"/>
    <w:rsid w:val="00902A22"/>
    <w:rsid w:val="0090645F"/>
    <w:rsid w:val="00906A7D"/>
    <w:rsid w:val="00907845"/>
    <w:rsid w:val="00910796"/>
    <w:rsid w:val="00911285"/>
    <w:rsid w:val="00914339"/>
    <w:rsid w:val="0091453C"/>
    <w:rsid w:val="0091480D"/>
    <w:rsid w:val="00923310"/>
    <w:rsid w:val="0092370F"/>
    <w:rsid w:val="00923C34"/>
    <w:rsid w:val="0092782C"/>
    <w:rsid w:val="00927E53"/>
    <w:rsid w:val="009320E7"/>
    <w:rsid w:val="009360F3"/>
    <w:rsid w:val="00936FA3"/>
    <w:rsid w:val="0094122D"/>
    <w:rsid w:val="00945CCB"/>
    <w:rsid w:val="009478B6"/>
    <w:rsid w:val="00947EDD"/>
    <w:rsid w:val="0095003C"/>
    <w:rsid w:val="00950A7A"/>
    <w:rsid w:val="009512AF"/>
    <w:rsid w:val="00951473"/>
    <w:rsid w:val="00952919"/>
    <w:rsid w:val="00953CAB"/>
    <w:rsid w:val="009572EC"/>
    <w:rsid w:val="00961402"/>
    <w:rsid w:val="00964AE2"/>
    <w:rsid w:val="00965380"/>
    <w:rsid w:val="00965E33"/>
    <w:rsid w:val="00970432"/>
    <w:rsid w:val="00970D4A"/>
    <w:rsid w:val="00972479"/>
    <w:rsid w:val="00972E43"/>
    <w:rsid w:val="009739EA"/>
    <w:rsid w:val="009746C8"/>
    <w:rsid w:val="00975959"/>
    <w:rsid w:val="00975E00"/>
    <w:rsid w:val="009763E0"/>
    <w:rsid w:val="009867E9"/>
    <w:rsid w:val="0098684D"/>
    <w:rsid w:val="00987799"/>
    <w:rsid w:val="0099169B"/>
    <w:rsid w:val="009917D6"/>
    <w:rsid w:val="0099200C"/>
    <w:rsid w:val="009956CF"/>
    <w:rsid w:val="009956E1"/>
    <w:rsid w:val="00996B09"/>
    <w:rsid w:val="009A0836"/>
    <w:rsid w:val="009A2F88"/>
    <w:rsid w:val="009A3C60"/>
    <w:rsid w:val="009A4030"/>
    <w:rsid w:val="009A4D7B"/>
    <w:rsid w:val="009B1B87"/>
    <w:rsid w:val="009B2260"/>
    <w:rsid w:val="009B2FBF"/>
    <w:rsid w:val="009B39BF"/>
    <w:rsid w:val="009B42AD"/>
    <w:rsid w:val="009B4FB7"/>
    <w:rsid w:val="009C0663"/>
    <w:rsid w:val="009C0AB2"/>
    <w:rsid w:val="009C0E98"/>
    <w:rsid w:val="009C1D57"/>
    <w:rsid w:val="009C2FC2"/>
    <w:rsid w:val="009C3BF7"/>
    <w:rsid w:val="009C5714"/>
    <w:rsid w:val="009D0677"/>
    <w:rsid w:val="009D08A0"/>
    <w:rsid w:val="009D09D4"/>
    <w:rsid w:val="009D33AE"/>
    <w:rsid w:val="009D45A4"/>
    <w:rsid w:val="009D6565"/>
    <w:rsid w:val="009D72C5"/>
    <w:rsid w:val="009D75F3"/>
    <w:rsid w:val="009D7A03"/>
    <w:rsid w:val="009E057B"/>
    <w:rsid w:val="009E16C8"/>
    <w:rsid w:val="009E41A4"/>
    <w:rsid w:val="009E499E"/>
    <w:rsid w:val="009E7F0C"/>
    <w:rsid w:val="009F0683"/>
    <w:rsid w:val="009F61D3"/>
    <w:rsid w:val="009F6C1F"/>
    <w:rsid w:val="00A00C9E"/>
    <w:rsid w:val="00A04E5B"/>
    <w:rsid w:val="00A06094"/>
    <w:rsid w:val="00A109A3"/>
    <w:rsid w:val="00A13074"/>
    <w:rsid w:val="00A15BD8"/>
    <w:rsid w:val="00A15C2A"/>
    <w:rsid w:val="00A15C6E"/>
    <w:rsid w:val="00A15D26"/>
    <w:rsid w:val="00A20C40"/>
    <w:rsid w:val="00A21ABA"/>
    <w:rsid w:val="00A23513"/>
    <w:rsid w:val="00A23B66"/>
    <w:rsid w:val="00A324D3"/>
    <w:rsid w:val="00A33DE9"/>
    <w:rsid w:val="00A33F2B"/>
    <w:rsid w:val="00A37210"/>
    <w:rsid w:val="00A377AE"/>
    <w:rsid w:val="00A4177A"/>
    <w:rsid w:val="00A41FEB"/>
    <w:rsid w:val="00A429C6"/>
    <w:rsid w:val="00A43328"/>
    <w:rsid w:val="00A52BEC"/>
    <w:rsid w:val="00A52DAA"/>
    <w:rsid w:val="00A54110"/>
    <w:rsid w:val="00A57987"/>
    <w:rsid w:val="00A60E5C"/>
    <w:rsid w:val="00A61059"/>
    <w:rsid w:val="00A61CFB"/>
    <w:rsid w:val="00A6292B"/>
    <w:rsid w:val="00A62D7C"/>
    <w:rsid w:val="00A64784"/>
    <w:rsid w:val="00A65AD1"/>
    <w:rsid w:val="00A65B00"/>
    <w:rsid w:val="00A7052F"/>
    <w:rsid w:val="00A72010"/>
    <w:rsid w:val="00A72F4A"/>
    <w:rsid w:val="00A7641A"/>
    <w:rsid w:val="00A76786"/>
    <w:rsid w:val="00A77321"/>
    <w:rsid w:val="00A77C55"/>
    <w:rsid w:val="00A82E89"/>
    <w:rsid w:val="00A83F56"/>
    <w:rsid w:val="00A85BDB"/>
    <w:rsid w:val="00A86D69"/>
    <w:rsid w:val="00A90AB7"/>
    <w:rsid w:val="00A90F93"/>
    <w:rsid w:val="00A93963"/>
    <w:rsid w:val="00A9471D"/>
    <w:rsid w:val="00A94E0E"/>
    <w:rsid w:val="00A964C0"/>
    <w:rsid w:val="00A97BDC"/>
    <w:rsid w:val="00AA22FE"/>
    <w:rsid w:val="00AA2AC4"/>
    <w:rsid w:val="00AA3775"/>
    <w:rsid w:val="00AA72DC"/>
    <w:rsid w:val="00AB0BCD"/>
    <w:rsid w:val="00AB11CD"/>
    <w:rsid w:val="00AB1D88"/>
    <w:rsid w:val="00AB3371"/>
    <w:rsid w:val="00AB65C8"/>
    <w:rsid w:val="00AC024E"/>
    <w:rsid w:val="00AC0BD9"/>
    <w:rsid w:val="00AC4345"/>
    <w:rsid w:val="00AC440B"/>
    <w:rsid w:val="00AC624C"/>
    <w:rsid w:val="00AD09FB"/>
    <w:rsid w:val="00AD1B5B"/>
    <w:rsid w:val="00AD5B99"/>
    <w:rsid w:val="00AD66E4"/>
    <w:rsid w:val="00AD7446"/>
    <w:rsid w:val="00AD7710"/>
    <w:rsid w:val="00AD7E12"/>
    <w:rsid w:val="00AE0E7B"/>
    <w:rsid w:val="00AF06F9"/>
    <w:rsid w:val="00AF1503"/>
    <w:rsid w:val="00AF19F4"/>
    <w:rsid w:val="00AF37BA"/>
    <w:rsid w:val="00AF3A98"/>
    <w:rsid w:val="00AF5131"/>
    <w:rsid w:val="00B02415"/>
    <w:rsid w:val="00B0289E"/>
    <w:rsid w:val="00B02D73"/>
    <w:rsid w:val="00B040BA"/>
    <w:rsid w:val="00B05795"/>
    <w:rsid w:val="00B063F1"/>
    <w:rsid w:val="00B06809"/>
    <w:rsid w:val="00B105EE"/>
    <w:rsid w:val="00B15082"/>
    <w:rsid w:val="00B1670B"/>
    <w:rsid w:val="00B21671"/>
    <w:rsid w:val="00B269C8"/>
    <w:rsid w:val="00B26C78"/>
    <w:rsid w:val="00B30DAC"/>
    <w:rsid w:val="00B343F4"/>
    <w:rsid w:val="00B35288"/>
    <w:rsid w:val="00B3561D"/>
    <w:rsid w:val="00B36F12"/>
    <w:rsid w:val="00B372C8"/>
    <w:rsid w:val="00B37AB5"/>
    <w:rsid w:val="00B403B1"/>
    <w:rsid w:val="00B517EC"/>
    <w:rsid w:val="00B51AF5"/>
    <w:rsid w:val="00B54E82"/>
    <w:rsid w:val="00B55919"/>
    <w:rsid w:val="00B56A8A"/>
    <w:rsid w:val="00B57926"/>
    <w:rsid w:val="00B613C3"/>
    <w:rsid w:val="00B614C4"/>
    <w:rsid w:val="00B615D9"/>
    <w:rsid w:val="00B660AA"/>
    <w:rsid w:val="00B67BBE"/>
    <w:rsid w:val="00B726CB"/>
    <w:rsid w:val="00B73EE6"/>
    <w:rsid w:val="00B77B67"/>
    <w:rsid w:val="00B81F10"/>
    <w:rsid w:val="00B85CD6"/>
    <w:rsid w:val="00B93C8A"/>
    <w:rsid w:val="00B95B3D"/>
    <w:rsid w:val="00B95FAD"/>
    <w:rsid w:val="00B961F3"/>
    <w:rsid w:val="00B966CC"/>
    <w:rsid w:val="00B96A0D"/>
    <w:rsid w:val="00BA3E68"/>
    <w:rsid w:val="00BA53C6"/>
    <w:rsid w:val="00BA6851"/>
    <w:rsid w:val="00BB119E"/>
    <w:rsid w:val="00BB2088"/>
    <w:rsid w:val="00BB2A85"/>
    <w:rsid w:val="00BB5212"/>
    <w:rsid w:val="00BB7361"/>
    <w:rsid w:val="00BC0717"/>
    <w:rsid w:val="00BC16C6"/>
    <w:rsid w:val="00BC4736"/>
    <w:rsid w:val="00BC4D8D"/>
    <w:rsid w:val="00BC7830"/>
    <w:rsid w:val="00BD1485"/>
    <w:rsid w:val="00BD2F7A"/>
    <w:rsid w:val="00BD440B"/>
    <w:rsid w:val="00BD5A5D"/>
    <w:rsid w:val="00BD684E"/>
    <w:rsid w:val="00BE70F1"/>
    <w:rsid w:val="00BE754F"/>
    <w:rsid w:val="00BF0568"/>
    <w:rsid w:val="00BF2373"/>
    <w:rsid w:val="00BF287B"/>
    <w:rsid w:val="00BF3FF2"/>
    <w:rsid w:val="00BF4EC5"/>
    <w:rsid w:val="00BF56AC"/>
    <w:rsid w:val="00BF6948"/>
    <w:rsid w:val="00BF6A18"/>
    <w:rsid w:val="00BF77C1"/>
    <w:rsid w:val="00C000A1"/>
    <w:rsid w:val="00C04905"/>
    <w:rsid w:val="00C0607D"/>
    <w:rsid w:val="00C122D7"/>
    <w:rsid w:val="00C12FE0"/>
    <w:rsid w:val="00C14FE2"/>
    <w:rsid w:val="00C172B6"/>
    <w:rsid w:val="00C17AA8"/>
    <w:rsid w:val="00C20DFC"/>
    <w:rsid w:val="00C21070"/>
    <w:rsid w:val="00C2352A"/>
    <w:rsid w:val="00C273AD"/>
    <w:rsid w:val="00C27B06"/>
    <w:rsid w:val="00C300DD"/>
    <w:rsid w:val="00C30EC3"/>
    <w:rsid w:val="00C31E99"/>
    <w:rsid w:val="00C33B43"/>
    <w:rsid w:val="00C33F6C"/>
    <w:rsid w:val="00C35AAB"/>
    <w:rsid w:val="00C37344"/>
    <w:rsid w:val="00C41DC5"/>
    <w:rsid w:val="00C445FC"/>
    <w:rsid w:val="00C4460D"/>
    <w:rsid w:val="00C44C00"/>
    <w:rsid w:val="00C44F7E"/>
    <w:rsid w:val="00C51024"/>
    <w:rsid w:val="00C515F2"/>
    <w:rsid w:val="00C537F0"/>
    <w:rsid w:val="00C539A8"/>
    <w:rsid w:val="00C5717E"/>
    <w:rsid w:val="00C615A9"/>
    <w:rsid w:val="00C66FEF"/>
    <w:rsid w:val="00C6723C"/>
    <w:rsid w:val="00C71FE1"/>
    <w:rsid w:val="00C73666"/>
    <w:rsid w:val="00C74A07"/>
    <w:rsid w:val="00C74B69"/>
    <w:rsid w:val="00C77A8D"/>
    <w:rsid w:val="00C803F2"/>
    <w:rsid w:val="00C80428"/>
    <w:rsid w:val="00C80434"/>
    <w:rsid w:val="00C81941"/>
    <w:rsid w:val="00C81B98"/>
    <w:rsid w:val="00C81D1E"/>
    <w:rsid w:val="00C820F2"/>
    <w:rsid w:val="00C82EB0"/>
    <w:rsid w:val="00C845CB"/>
    <w:rsid w:val="00C84687"/>
    <w:rsid w:val="00C849D4"/>
    <w:rsid w:val="00C869C0"/>
    <w:rsid w:val="00C86C32"/>
    <w:rsid w:val="00C96368"/>
    <w:rsid w:val="00C96646"/>
    <w:rsid w:val="00C9741E"/>
    <w:rsid w:val="00CA15C7"/>
    <w:rsid w:val="00CA4847"/>
    <w:rsid w:val="00CA5117"/>
    <w:rsid w:val="00CA5A2D"/>
    <w:rsid w:val="00CA6816"/>
    <w:rsid w:val="00CB247C"/>
    <w:rsid w:val="00CB24F4"/>
    <w:rsid w:val="00CB4008"/>
    <w:rsid w:val="00CB6889"/>
    <w:rsid w:val="00CB727C"/>
    <w:rsid w:val="00CC02C7"/>
    <w:rsid w:val="00CC657D"/>
    <w:rsid w:val="00CC7AC4"/>
    <w:rsid w:val="00CD051A"/>
    <w:rsid w:val="00CD2808"/>
    <w:rsid w:val="00CD7D2B"/>
    <w:rsid w:val="00CE1CF6"/>
    <w:rsid w:val="00CE3748"/>
    <w:rsid w:val="00CE517E"/>
    <w:rsid w:val="00CE5F38"/>
    <w:rsid w:val="00CE6DBD"/>
    <w:rsid w:val="00CE7262"/>
    <w:rsid w:val="00CF288C"/>
    <w:rsid w:val="00CF377E"/>
    <w:rsid w:val="00D030AB"/>
    <w:rsid w:val="00D053FD"/>
    <w:rsid w:val="00D07108"/>
    <w:rsid w:val="00D10942"/>
    <w:rsid w:val="00D11C01"/>
    <w:rsid w:val="00D12174"/>
    <w:rsid w:val="00D14E51"/>
    <w:rsid w:val="00D162DF"/>
    <w:rsid w:val="00D174C2"/>
    <w:rsid w:val="00D21A43"/>
    <w:rsid w:val="00D2215B"/>
    <w:rsid w:val="00D23009"/>
    <w:rsid w:val="00D246BD"/>
    <w:rsid w:val="00D2693F"/>
    <w:rsid w:val="00D26D84"/>
    <w:rsid w:val="00D30DD0"/>
    <w:rsid w:val="00D36EE7"/>
    <w:rsid w:val="00D40198"/>
    <w:rsid w:val="00D41CC6"/>
    <w:rsid w:val="00D448AD"/>
    <w:rsid w:val="00D47346"/>
    <w:rsid w:val="00D52878"/>
    <w:rsid w:val="00D53170"/>
    <w:rsid w:val="00D5481D"/>
    <w:rsid w:val="00D55522"/>
    <w:rsid w:val="00D57DF4"/>
    <w:rsid w:val="00D60F8F"/>
    <w:rsid w:val="00D64101"/>
    <w:rsid w:val="00D67BCF"/>
    <w:rsid w:val="00D71B90"/>
    <w:rsid w:val="00D76027"/>
    <w:rsid w:val="00D81528"/>
    <w:rsid w:val="00D81886"/>
    <w:rsid w:val="00D81E09"/>
    <w:rsid w:val="00D82050"/>
    <w:rsid w:val="00D85E56"/>
    <w:rsid w:val="00D86F5A"/>
    <w:rsid w:val="00D873BE"/>
    <w:rsid w:val="00D875A9"/>
    <w:rsid w:val="00D909B0"/>
    <w:rsid w:val="00D92535"/>
    <w:rsid w:val="00D93911"/>
    <w:rsid w:val="00D94523"/>
    <w:rsid w:val="00D9686B"/>
    <w:rsid w:val="00D97241"/>
    <w:rsid w:val="00D973AE"/>
    <w:rsid w:val="00DA0751"/>
    <w:rsid w:val="00DA08C0"/>
    <w:rsid w:val="00DA1480"/>
    <w:rsid w:val="00DB0B14"/>
    <w:rsid w:val="00DB19CD"/>
    <w:rsid w:val="00DC0858"/>
    <w:rsid w:val="00DC1C1C"/>
    <w:rsid w:val="00DC5617"/>
    <w:rsid w:val="00DC7BBD"/>
    <w:rsid w:val="00DD1EB9"/>
    <w:rsid w:val="00DD41AD"/>
    <w:rsid w:val="00DD4E47"/>
    <w:rsid w:val="00DD6C85"/>
    <w:rsid w:val="00DE0E85"/>
    <w:rsid w:val="00DE2F15"/>
    <w:rsid w:val="00DE3D40"/>
    <w:rsid w:val="00DE735A"/>
    <w:rsid w:val="00DE77C2"/>
    <w:rsid w:val="00DF1585"/>
    <w:rsid w:val="00DF346C"/>
    <w:rsid w:val="00DF763A"/>
    <w:rsid w:val="00E0098B"/>
    <w:rsid w:val="00E03CC3"/>
    <w:rsid w:val="00E04D41"/>
    <w:rsid w:val="00E07AFC"/>
    <w:rsid w:val="00E112F0"/>
    <w:rsid w:val="00E125C4"/>
    <w:rsid w:val="00E13694"/>
    <w:rsid w:val="00E159DF"/>
    <w:rsid w:val="00E15A42"/>
    <w:rsid w:val="00E23BA6"/>
    <w:rsid w:val="00E2528B"/>
    <w:rsid w:val="00E27197"/>
    <w:rsid w:val="00E31C6B"/>
    <w:rsid w:val="00E32016"/>
    <w:rsid w:val="00E37DAE"/>
    <w:rsid w:val="00E43CA2"/>
    <w:rsid w:val="00E4512D"/>
    <w:rsid w:val="00E512B2"/>
    <w:rsid w:val="00E52190"/>
    <w:rsid w:val="00E53CD3"/>
    <w:rsid w:val="00E54B34"/>
    <w:rsid w:val="00E55411"/>
    <w:rsid w:val="00E57027"/>
    <w:rsid w:val="00E612B7"/>
    <w:rsid w:val="00E61438"/>
    <w:rsid w:val="00E65C7E"/>
    <w:rsid w:val="00E7079F"/>
    <w:rsid w:val="00E71B2B"/>
    <w:rsid w:val="00E74062"/>
    <w:rsid w:val="00E75258"/>
    <w:rsid w:val="00E7629B"/>
    <w:rsid w:val="00E819C0"/>
    <w:rsid w:val="00E81BDF"/>
    <w:rsid w:val="00E83735"/>
    <w:rsid w:val="00E86C45"/>
    <w:rsid w:val="00E92AB9"/>
    <w:rsid w:val="00E93547"/>
    <w:rsid w:val="00E93D27"/>
    <w:rsid w:val="00E95612"/>
    <w:rsid w:val="00E95810"/>
    <w:rsid w:val="00E95BD2"/>
    <w:rsid w:val="00EA0C27"/>
    <w:rsid w:val="00EA7D82"/>
    <w:rsid w:val="00EB1A21"/>
    <w:rsid w:val="00EB1CA4"/>
    <w:rsid w:val="00EB24DF"/>
    <w:rsid w:val="00EB2662"/>
    <w:rsid w:val="00EB3594"/>
    <w:rsid w:val="00EB3EF4"/>
    <w:rsid w:val="00EB449D"/>
    <w:rsid w:val="00EB458F"/>
    <w:rsid w:val="00EB4842"/>
    <w:rsid w:val="00EB7F3C"/>
    <w:rsid w:val="00EC4CE3"/>
    <w:rsid w:val="00EC523F"/>
    <w:rsid w:val="00EC5BFC"/>
    <w:rsid w:val="00EC6D37"/>
    <w:rsid w:val="00EE3776"/>
    <w:rsid w:val="00EE4F44"/>
    <w:rsid w:val="00EE5D58"/>
    <w:rsid w:val="00EE5E34"/>
    <w:rsid w:val="00EE637A"/>
    <w:rsid w:val="00EE66F5"/>
    <w:rsid w:val="00EE69A7"/>
    <w:rsid w:val="00EF35F2"/>
    <w:rsid w:val="00EF41D0"/>
    <w:rsid w:val="00EF57F6"/>
    <w:rsid w:val="00EF5CCB"/>
    <w:rsid w:val="00EF6B3A"/>
    <w:rsid w:val="00EF7168"/>
    <w:rsid w:val="00F0002C"/>
    <w:rsid w:val="00F0188C"/>
    <w:rsid w:val="00F06830"/>
    <w:rsid w:val="00F10E18"/>
    <w:rsid w:val="00F16B96"/>
    <w:rsid w:val="00F2012F"/>
    <w:rsid w:val="00F2426F"/>
    <w:rsid w:val="00F249EF"/>
    <w:rsid w:val="00F25FB1"/>
    <w:rsid w:val="00F26E76"/>
    <w:rsid w:val="00F31062"/>
    <w:rsid w:val="00F325AA"/>
    <w:rsid w:val="00F365AE"/>
    <w:rsid w:val="00F40E31"/>
    <w:rsid w:val="00F43AFD"/>
    <w:rsid w:val="00F4504A"/>
    <w:rsid w:val="00F47916"/>
    <w:rsid w:val="00F537AD"/>
    <w:rsid w:val="00F56A97"/>
    <w:rsid w:val="00F56E86"/>
    <w:rsid w:val="00F6021B"/>
    <w:rsid w:val="00F60EFF"/>
    <w:rsid w:val="00F60FFE"/>
    <w:rsid w:val="00F61C24"/>
    <w:rsid w:val="00F63477"/>
    <w:rsid w:val="00F65173"/>
    <w:rsid w:val="00F65618"/>
    <w:rsid w:val="00F75326"/>
    <w:rsid w:val="00F75BF0"/>
    <w:rsid w:val="00F75E4C"/>
    <w:rsid w:val="00F77350"/>
    <w:rsid w:val="00F77FEE"/>
    <w:rsid w:val="00F81FE5"/>
    <w:rsid w:val="00F82AC3"/>
    <w:rsid w:val="00F8422B"/>
    <w:rsid w:val="00F867A7"/>
    <w:rsid w:val="00F87872"/>
    <w:rsid w:val="00F908A0"/>
    <w:rsid w:val="00F944B6"/>
    <w:rsid w:val="00F94749"/>
    <w:rsid w:val="00F957E3"/>
    <w:rsid w:val="00FA1886"/>
    <w:rsid w:val="00FA33F6"/>
    <w:rsid w:val="00FA72BD"/>
    <w:rsid w:val="00FA7AE3"/>
    <w:rsid w:val="00FB25F7"/>
    <w:rsid w:val="00FB79A9"/>
    <w:rsid w:val="00FC22AD"/>
    <w:rsid w:val="00FD076B"/>
    <w:rsid w:val="00FD08E0"/>
    <w:rsid w:val="00FD0BF8"/>
    <w:rsid w:val="00FD263D"/>
    <w:rsid w:val="00FD32B5"/>
    <w:rsid w:val="00FD39B5"/>
    <w:rsid w:val="00FD67D4"/>
    <w:rsid w:val="00FD7DBB"/>
    <w:rsid w:val="00FD7EC4"/>
    <w:rsid w:val="00FE35F4"/>
    <w:rsid w:val="00FE395F"/>
    <w:rsid w:val="00FE578A"/>
    <w:rsid w:val="00FF028C"/>
    <w:rsid w:val="00FF1011"/>
    <w:rsid w:val="00FF20DC"/>
    <w:rsid w:val="011A126A"/>
    <w:rsid w:val="015A112B"/>
    <w:rsid w:val="016DF38B"/>
    <w:rsid w:val="017A2B9C"/>
    <w:rsid w:val="01B99D3B"/>
    <w:rsid w:val="01C87B6F"/>
    <w:rsid w:val="0224F41B"/>
    <w:rsid w:val="027627A5"/>
    <w:rsid w:val="02896E0C"/>
    <w:rsid w:val="029BC106"/>
    <w:rsid w:val="029D8DB1"/>
    <w:rsid w:val="036182D1"/>
    <w:rsid w:val="037D6563"/>
    <w:rsid w:val="038F28DB"/>
    <w:rsid w:val="03C0A9A0"/>
    <w:rsid w:val="04171C08"/>
    <w:rsid w:val="04406907"/>
    <w:rsid w:val="0440E161"/>
    <w:rsid w:val="0455E05E"/>
    <w:rsid w:val="04CEB266"/>
    <w:rsid w:val="05113F01"/>
    <w:rsid w:val="0542670C"/>
    <w:rsid w:val="0554D60B"/>
    <w:rsid w:val="056217CB"/>
    <w:rsid w:val="0576BBDE"/>
    <w:rsid w:val="0589317B"/>
    <w:rsid w:val="05C87380"/>
    <w:rsid w:val="0637E2E4"/>
    <w:rsid w:val="06B053F2"/>
    <w:rsid w:val="06F3AA12"/>
    <w:rsid w:val="06F6AE89"/>
    <w:rsid w:val="070F2B9E"/>
    <w:rsid w:val="0715B368"/>
    <w:rsid w:val="07451D5D"/>
    <w:rsid w:val="07BD95F8"/>
    <w:rsid w:val="0821130A"/>
    <w:rsid w:val="09CC75BE"/>
    <w:rsid w:val="09DEE70A"/>
    <w:rsid w:val="0A2FFCC8"/>
    <w:rsid w:val="0A690420"/>
    <w:rsid w:val="0ADE4A3F"/>
    <w:rsid w:val="0AE4C965"/>
    <w:rsid w:val="0B07E585"/>
    <w:rsid w:val="0B2D4E30"/>
    <w:rsid w:val="0BDA20FB"/>
    <w:rsid w:val="0BE46746"/>
    <w:rsid w:val="0C73FA01"/>
    <w:rsid w:val="0C8C2BD4"/>
    <w:rsid w:val="0D12B452"/>
    <w:rsid w:val="0DB2ADF7"/>
    <w:rsid w:val="0DB9A00B"/>
    <w:rsid w:val="0DD56CF8"/>
    <w:rsid w:val="0DFDA453"/>
    <w:rsid w:val="0E394989"/>
    <w:rsid w:val="0E3D652C"/>
    <w:rsid w:val="0E79A9CE"/>
    <w:rsid w:val="0EC5E5F5"/>
    <w:rsid w:val="0EF8BFA4"/>
    <w:rsid w:val="0F11C1BD"/>
    <w:rsid w:val="0F301509"/>
    <w:rsid w:val="0F41E515"/>
    <w:rsid w:val="0F439309"/>
    <w:rsid w:val="0F81990D"/>
    <w:rsid w:val="0F8F9AEC"/>
    <w:rsid w:val="0F98300C"/>
    <w:rsid w:val="0FD437ED"/>
    <w:rsid w:val="1057E939"/>
    <w:rsid w:val="106FD718"/>
    <w:rsid w:val="10A3E0D9"/>
    <w:rsid w:val="10FF345B"/>
    <w:rsid w:val="111DF152"/>
    <w:rsid w:val="113B1D0F"/>
    <w:rsid w:val="114349FC"/>
    <w:rsid w:val="115ED2E0"/>
    <w:rsid w:val="11BE5F46"/>
    <w:rsid w:val="12004B22"/>
    <w:rsid w:val="123F67A5"/>
    <w:rsid w:val="125D7A28"/>
    <w:rsid w:val="12AFDE90"/>
    <w:rsid w:val="1312CF4D"/>
    <w:rsid w:val="13364496"/>
    <w:rsid w:val="1367C707"/>
    <w:rsid w:val="13B0DDAA"/>
    <w:rsid w:val="13DC73CF"/>
    <w:rsid w:val="148F76F0"/>
    <w:rsid w:val="14AFC33D"/>
    <w:rsid w:val="14FB82AD"/>
    <w:rsid w:val="1506A755"/>
    <w:rsid w:val="151E74A3"/>
    <w:rsid w:val="158C9631"/>
    <w:rsid w:val="15B955D4"/>
    <w:rsid w:val="15F0DA91"/>
    <w:rsid w:val="15F17318"/>
    <w:rsid w:val="16ADABA0"/>
    <w:rsid w:val="1703FDAD"/>
    <w:rsid w:val="17141491"/>
    <w:rsid w:val="1718BE05"/>
    <w:rsid w:val="174571FB"/>
    <w:rsid w:val="1789E1F3"/>
    <w:rsid w:val="17A3A4EA"/>
    <w:rsid w:val="17CF5197"/>
    <w:rsid w:val="18F976F5"/>
    <w:rsid w:val="192BBD51"/>
    <w:rsid w:val="1985DAEE"/>
    <w:rsid w:val="19A30B78"/>
    <w:rsid w:val="19D1AC1E"/>
    <w:rsid w:val="1A00D892"/>
    <w:rsid w:val="1A5B7119"/>
    <w:rsid w:val="1A7516A5"/>
    <w:rsid w:val="1A985652"/>
    <w:rsid w:val="1B497DEE"/>
    <w:rsid w:val="1BF8A3E5"/>
    <w:rsid w:val="1C6086AB"/>
    <w:rsid w:val="1C7F0393"/>
    <w:rsid w:val="1CC619FE"/>
    <w:rsid w:val="1CE11EA6"/>
    <w:rsid w:val="1D133AE1"/>
    <w:rsid w:val="1D17E490"/>
    <w:rsid w:val="1DD27031"/>
    <w:rsid w:val="1DDA2DB6"/>
    <w:rsid w:val="1E1AD3F4"/>
    <w:rsid w:val="1E5CD83C"/>
    <w:rsid w:val="1EC5477A"/>
    <w:rsid w:val="2040A035"/>
    <w:rsid w:val="205483C8"/>
    <w:rsid w:val="20CC1508"/>
    <w:rsid w:val="212C75A2"/>
    <w:rsid w:val="214DF01B"/>
    <w:rsid w:val="215E6A43"/>
    <w:rsid w:val="219E045D"/>
    <w:rsid w:val="22059C67"/>
    <w:rsid w:val="22140F28"/>
    <w:rsid w:val="2249D069"/>
    <w:rsid w:val="226773CF"/>
    <w:rsid w:val="2282D333"/>
    <w:rsid w:val="22EE4517"/>
    <w:rsid w:val="23A09CF0"/>
    <w:rsid w:val="23A2A330"/>
    <w:rsid w:val="23AF57AA"/>
    <w:rsid w:val="23D3F086"/>
    <w:rsid w:val="24074D32"/>
    <w:rsid w:val="24956529"/>
    <w:rsid w:val="24C0FAF1"/>
    <w:rsid w:val="25C239B5"/>
    <w:rsid w:val="260D62F6"/>
    <w:rsid w:val="2654C56E"/>
    <w:rsid w:val="269D7C8B"/>
    <w:rsid w:val="272A529C"/>
    <w:rsid w:val="273B568C"/>
    <w:rsid w:val="2796555A"/>
    <w:rsid w:val="27C340CF"/>
    <w:rsid w:val="27C850B6"/>
    <w:rsid w:val="28AD8BA7"/>
    <w:rsid w:val="28AF7204"/>
    <w:rsid w:val="28C1DF91"/>
    <w:rsid w:val="28D726ED"/>
    <w:rsid w:val="28FE55F7"/>
    <w:rsid w:val="291522D8"/>
    <w:rsid w:val="294F7FE1"/>
    <w:rsid w:val="29CA14A8"/>
    <w:rsid w:val="29E7CFE8"/>
    <w:rsid w:val="2A5BF953"/>
    <w:rsid w:val="2A72F74E"/>
    <w:rsid w:val="2AA73C84"/>
    <w:rsid w:val="2AB10AD8"/>
    <w:rsid w:val="2B56DECC"/>
    <w:rsid w:val="2B8407FC"/>
    <w:rsid w:val="2C243C9F"/>
    <w:rsid w:val="2C42EB47"/>
    <w:rsid w:val="2C654271"/>
    <w:rsid w:val="2CB921EA"/>
    <w:rsid w:val="2CD751E0"/>
    <w:rsid w:val="2CEC9615"/>
    <w:rsid w:val="2D27FF6C"/>
    <w:rsid w:val="2D2FAC09"/>
    <w:rsid w:val="2D5597E0"/>
    <w:rsid w:val="2DAE3A10"/>
    <w:rsid w:val="2DE893FB"/>
    <w:rsid w:val="2E0417E6"/>
    <w:rsid w:val="2E327CCC"/>
    <w:rsid w:val="2E3E2545"/>
    <w:rsid w:val="2E6202AE"/>
    <w:rsid w:val="2E741475"/>
    <w:rsid w:val="2E8EA783"/>
    <w:rsid w:val="2ECCAF54"/>
    <w:rsid w:val="2EFE6D2B"/>
    <w:rsid w:val="2F72E21B"/>
    <w:rsid w:val="2FB127B3"/>
    <w:rsid w:val="2FBF99CE"/>
    <w:rsid w:val="2FD7BD05"/>
    <w:rsid w:val="2FF62D07"/>
    <w:rsid w:val="3028EEE5"/>
    <w:rsid w:val="3035E714"/>
    <w:rsid w:val="303D454E"/>
    <w:rsid w:val="30496FBF"/>
    <w:rsid w:val="30A33583"/>
    <w:rsid w:val="30A762B5"/>
    <w:rsid w:val="30DAE472"/>
    <w:rsid w:val="3153624D"/>
    <w:rsid w:val="31DD3358"/>
    <w:rsid w:val="31DFB96C"/>
    <w:rsid w:val="322C276C"/>
    <w:rsid w:val="324CFB0B"/>
    <w:rsid w:val="32B8F420"/>
    <w:rsid w:val="32E65753"/>
    <w:rsid w:val="330B078F"/>
    <w:rsid w:val="3334A544"/>
    <w:rsid w:val="33536CD2"/>
    <w:rsid w:val="337ACAFB"/>
    <w:rsid w:val="339B3B78"/>
    <w:rsid w:val="33C0B480"/>
    <w:rsid w:val="342619E2"/>
    <w:rsid w:val="34ADD21B"/>
    <w:rsid w:val="35157D50"/>
    <w:rsid w:val="353493CA"/>
    <w:rsid w:val="35595AFC"/>
    <w:rsid w:val="35E11E94"/>
    <w:rsid w:val="362ECF5C"/>
    <w:rsid w:val="363C6E4A"/>
    <w:rsid w:val="36992219"/>
    <w:rsid w:val="36B51819"/>
    <w:rsid w:val="374295D6"/>
    <w:rsid w:val="375967DC"/>
    <w:rsid w:val="3764F17C"/>
    <w:rsid w:val="37915D80"/>
    <w:rsid w:val="37B18B14"/>
    <w:rsid w:val="381A32A2"/>
    <w:rsid w:val="381AF6BB"/>
    <w:rsid w:val="384BD9AF"/>
    <w:rsid w:val="3863BB13"/>
    <w:rsid w:val="386A10D7"/>
    <w:rsid w:val="38A2C2C2"/>
    <w:rsid w:val="38D6C309"/>
    <w:rsid w:val="39158DB2"/>
    <w:rsid w:val="394BB05C"/>
    <w:rsid w:val="394BBB3A"/>
    <w:rsid w:val="39B1779A"/>
    <w:rsid w:val="39B6C71C"/>
    <w:rsid w:val="3A14C767"/>
    <w:rsid w:val="3AD840DB"/>
    <w:rsid w:val="3B02DED7"/>
    <w:rsid w:val="3B88893C"/>
    <w:rsid w:val="3B8C9C8D"/>
    <w:rsid w:val="3C7BFA31"/>
    <w:rsid w:val="3C83511E"/>
    <w:rsid w:val="3CBBFB74"/>
    <w:rsid w:val="3CD94A1E"/>
    <w:rsid w:val="3D24599D"/>
    <w:rsid w:val="3DAE8AA3"/>
    <w:rsid w:val="3E0767E0"/>
    <w:rsid w:val="3F21B61E"/>
    <w:rsid w:val="3F68A3F0"/>
    <w:rsid w:val="3F6B5B05"/>
    <w:rsid w:val="3F805D2F"/>
    <w:rsid w:val="3FA12A2A"/>
    <w:rsid w:val="3FC1051B"/>
    <w:rsid w:val="3FF82382"/>
    <w:rsid w:val="4074B459"/>
    <w:rsid w:val="407522BC"/>
    <w:rsid w:val="407D1932"/>
    <w:rsid w:val="40889DF4"/>
    <w:rsid w:val="41004A22"/>
    <w:rsid w:val="41293885"/>
    <w:rsid w:val="4165D76B"/>
    <w:rsid w:val="4191C2E5"/>
    <w:rsid w:val="41CBD336"/>
    <w:rsid w:val="42059D97"/>
    <w:rsid w:val="42290A7E"/>
    <w:rsid w:val="4268873B"/>
    <w:rsid w:val="429C1A83"/>
    <w:rsid w:val="42EB8DB3"/>
    <w:rsid w:val="42FF2DF7"/>
    <w:rsid w:val="43159774"/>
    <w:rsid w:val="43517BDE"/>
    <w:rsid w:val="436AEC5D"/>
    <w:rsid w:val="4390EEE5"/>
    <w:rsid w:val="43D774DC"/>
    <w:rsid w:val="43DFF10E"/>
    <w:rsid w:val="44016E22"/>
    <w:rsid w:val="441289C9"/>
    <w:rsid w:val="4437EAE4"/>
    <w:rsid w:val="443B8CE4"/>
    <w:rsid w:val="44423531"/>
    <w:rsid w:val="445A2ED0"/>
    <w:rsid w:val="44628A86"/>
    <w:rsid w:val="447F2321"/>
    <w:rsid w:val="45143B3B"/>
    <w:rsid w:val="4534ACAC"/>
    <w:rsid w:val="455E0C4E"/>
    <w:rsid w:val="45DB0345"/>
    <w:rsid w:val="46390126"/>
    <w:rsid w:val="463BF320"/>
    <w:rsid w:val="468F6A5A"/>
    <w:rsid w:val="46A20C5A"/>
    <w:rsid w:val="46CB0AE4"/>
    <w:rsid w:val="46E3BABA"/>
    <w:rsid w:val="46F9DCAF"/>
    <w:rsid w:val="471791D0"/>
    <w:rsid w:val="474C3750"/>
    <w:rsid w:val="47B2B984"/>
    <w:rsid w:val="47C63C4D"/>
    <w:rsid w:val="4815E142"/>
    <w:rsid w:val="481CD47E"/>
    <w:rsid w:val="48655B5A"/>
    <w:rsid w:val="4870CE36"/>
    <w:rsid w:val="48B33BEA"/>
    <w:rsid w:val="49F4AC72"/>
    <w:rsid w:val="4A191C40"/>
    <w:rsid w:val="4A1B5B7C"/>
    <w:rsid w:val="4AA228A7"/>
    <w:rsid w:val="4AFA185E"/>
    <w:rsid w:val="4B8CA057"/>
    <w:rsid w:val="4BCD4DD2"/>
    <w:rsid w:val="4C6108A4"/>
    <w:rsid w:val="4C64A1B3"/>
    <w:rsid w:val="4C926FF9"/>
    <w:rsid w:val="4CA5E9AF"/>
    <w:rsid w:val="4DCB81D1"/>
    <w:rsid w:val="4E4887AE"/>
    <w:rsid w:val="4E8CD8CB"/>
    <w:rsid w:val="4EB80552"/>
    <w:rsid w:val="4F125ADA"/>
    <w:rsid w:val="4FB92250"/>
    <w:rsid w:val="500AB0CD"/>
    <w:rsid w:val="5064B21D"/>
    <w:rsid w:val="5087F5AE"/>
    <w:rsid w:val="5093F187"/>
    <w:rsid w:val="5164BF14"/>
    <w:rsid w:val="517F8594"/>
    <w:rsid w:val="51841761"/>
    <w:rsid w:val="519481E8"/>
    <w:rsid w:val="51968080"/>
    <w:rsid w:val="51DFEA51"/>
    <w:rsid w:val="52266D61"/>
    <w:rsid w:val="524FD924"/>
    <w:rsid w:val="5292D0B2"/>
    <w:rsid w:val="52BD5A43"/>
    <w:rsid w:val="52DBC680"/>
    <w:rsid w:val="5303D532"/>
    <w:rsid w:val="5329C009"/>
    <w:rsid w:val="534E076A"/>
    <w:rsid w:val="536C30D4"/>
    <w:rsid w:val="5390704B"/>
    <w:rsid w:val="53B2418E"/>
    <w:rsid w:val="53D85FB7"/>
    <w:rsid w:val="540165D5"/>
    <w:rsid w:val="54144CCE"/>
    <w:rsid w:val="541622D2"/>
    <w:rsid w:val="548ED03C"/>
    <w:rsid w:val="549D81DE"/>
    <w:rsid w:val="54A5EA4F"/>
    <w:rsid w:val="54C079BB"/>
    <w:rsid w:val="552C40AC"/>
    <w:rsid w:val="55458F4C"/>
    <w:rsid w:val="559323E4"/>
    <w:rsid w:val="55EF8491"/>
    <w:rsid w:val="5651D116"/>
    <w:rsid w:val="5663646B"/>
    <w:rsid w:val="569C9E50"/>
    <w:rsid w:val="56AADFAE"/>
    <w:rsid w:val="56B35B74"/>
    <w:rsid w:val="56BA071D"/>
    <w:rsid w:val="56C8110D"/>
    <w:rsid w:val="575A9D3D"/>
    <w:rsid w:val="577A2A35"/>
    <w:rsid w:val="57B6FEE7"/>
    <w:rsid w:val="57FD312C"/>
    <w:rsid w:val="58068C6B"/>
    <w:rsid w:val="5846B00F"/>
    <w:rsid w:val="58992F2F"/>
    <w:rsid w:val="58B02978"/>
    <w:rsid w:val="58DC5F49"/>
    <w:rsid w:val="595C949C"/>
    <w:rsid w:val="59783A9D"/>
    <w:rsid w:val="59834F99"/>
    <w:rsid w:val="59C59829"/>
    <w:rsid w:val="59E8515B"/>
    <w:rsid w:val="5A35995D"/>
    <w:rsid w:val="5A5F0501"/>
    <w:rsid w:val="5A6ED7F3"/>
    <w:rsid w:val="5AA3E69A"/>
    <w:rsid w:val="5AEB91D4"/>
    <w:rsid w:val="5B716B64"/>
    <w:rsid w:val="5B72ECD5"/>
    <w:rsid w:val="5B87DC14"/>
    <w:rsid w:val="5C224734"/>
    <w:rsid w:val="5C305BAA"/>
    <w:rsid w:val="5C9D227C"/>
    <w:rsid w:val="5CABC498"/>
    <w:rsid w:val="5D3639E1"/>
    <w:rsid w:val="5D5F4D31"/>
    <w:rsid w:val="5D899138"/>
    <w:rsid w:val="5DA4E4A4"/>
    <w:rsid w:val="5E5CA592"/>
    <w:rsid w:val="5E64FD31"/>
    <w:rsid w:val="5E9E0F04"/>
    <w:rsid w:val="5EF93FD1"/>
    <w:rsid w:val="5F26371E"/>
    <w:rsid w:val="5F3EF8DE"/>
    <w:rsid w:val="5F64FBB3"/>
    <w:rsid w:val="5F9907EF"/>
    <w:rsid w:val="5FC7A6B3"/>
    <w:rsid w:val="60528DB6"/>
    <w:rsid w:val="605EDF1F"/>
    <w:rsid w:val="60779C39"/>
    <w:rsid w:val="6134D850"/>
    <w:rsid w:val="616ACA0F"/>
    <w:rsid w:val="617C04E6"/>
    <w:rsid w:val="618AEB15"/>
    <w:rsid w:val="61917D55"/>
    <w:rsid w:val="61B596FD"/>
    <w:rsid w:val="62154C16"/>
    <w:rsid w:val="624E6489"/>
    <w:rsid w:val="625265C3"/>
    <w:rsid w:val="633F8972"/>
    <w:rsid w:val="6375E2CB"/>
    <w:rsid w:val="63C7D03B"/>
    <w:rsid w:val="64023EEE"/>
    <w:rsid w:val="645F051E"/>
    <w:rsid w:val="64605584"/>
    <w:rsid w:val="64CBE716"/>
    <w:rsid w:val="656A41AD"/>
    <w:rsid w:val="65A37C8A"/>
    <w:rsid w:val="65E32769"/>
    <w:rsid w:val="65FDF6E1"/>
    <w:rsid w:val="66112C6A"/>
    <w:rsid w:val="663E3B32"/>
    <w:rsid w:val="66598744"/>
    <w:rsid w:val="66AB4D5A"/>
    <w:rsid w:val="673EF615"/>
    <w:rsid w:val="676161C4"/>
    <w:rsid w:val="68160BD2"/>
    <w:rsid w:val="68464778"/>
    <w:rsid w:val="69276D20"/>
    <w:rsid w:val="694DADBA"/>
    <w:rsid w:val="69705BF7"/>
    <w:rsid w:val="69912806"/>
    <w:rsid w:val="69AB297F"/>
    <w:rsid w:val="69E779A3"/>
    <w:rsid w:val="6A1F2ABB"/>
    <w:rsid w:val="6A645742"/>
    <w:rsid w:val="6A68E647"/>
    <w:rsid w:val="6A6A0D79"/>
    <w:rsid w:val="6AC02336"/>
    <w:rsid w:val="6AC26DAB"/>
    <w:rsid w:val="6AFAC453"/>
    <w:rsid w:val="6AFBFEBA"/>
    <w:rsid w:val="6B2CF867"/>
    <w:rsid w:val="6B385F9B"/>
    <w:rsid w:val="6B55E2E6"/>
    <w:rsid w:val="6B733875"/>
    <w:rsid w:val="6B78324A"/>
    <w:rsid w:val="6B783B72"/>
    <w:rsid w:val="6B78E359"/>
    <w:rsid w:val="6B8136EE"/>
    <w:rsid w:val="6BA86750"/>
    <w:rsid w:val="6BE7397E"/>
    <w:rsid w:val="6C004766"/>
    <w:rsid w:val="6C20D63C"/>
    <w:rsid w:val="6C97CF1B"/>
    <w:rsid w:val="6CC8C8C8"/>
    <w:rsid w:val="6CF5E079"/>
    <w:rsid w:val="6DFA32FB"/>
    <w:rsid w:val="6DFCA2AC"/>
    <w:rsid w:val="6E184178"/>
    <w:rsid w:val="6E67FDA4"/>
    <w:rsid w:val="6EB2C303"/>
    <w:rsid w:val="6ED0523F"/>
    <w:rsid w:val="6ED9B8CC"/>
    <w:rsid w:val="6EEB6AE0"/>
    <w:rsid w:val="6F5DB8D5"/>
    <w:rsid w:val="6F96035C"/>
    <w:rsid w:val="6FAA900F"/>
    <w:rsid w:val="7001E82D"/>
    <w:rsid w:val="700E1F78"/>
    <w:rsid w:val="7016C4AC"/>
    <w:rsid w:val="70DB23B5"/>
    <w:rsid w:val="7132D7D3"/>
    <w:rsid w:val="714A8D4A"/>
    <w:rsid w:val="71E0AAEE"/>
    <w:rsid w:val="722C2CAA"/>
    <w:rsid w:val="72768C64"/>
    <w:rsid w:val="72B8E75D"/>
    <w:rsid w:val="72DB67A3"/>
    <w:rsid w:val="72F84F4F"/>
    <w:rsid w:val="7313CE1A"/>
    <w:rsid w:val="731CBE3A"/>
    <w:rsid w:val="734708FE"/>
    <w:rsid w:val="73512D34"/>
    <w:rsid w:val="7360B4D8"/>
    <w:rsid w:val="7408463A"/>
    <w:rsid w:val="7469747F"/>
    <w:rsid w:val="74877EF1"/>
    <w:rsid w:val="74E9F866"/>
    <w:rsid w:val="75623CE9"/>
    <w:rsid w:val="75A4169B"/>
    <w:rsid w:val="75D68E69"/>
    <w:rsid w:val="76545EFC"/>
    <w:rsid w:val="768BF611"/>
    <w:rsid w:val="76B0612B"/>
    <w:rsid w:val="76C7FC50"/>
    <w:rsid w:val="77315EC8"/>
    <w:rsid w:val="77403469"/>
    <w:rsid w:val="7794C5A5"/>
    <w:rsid w:val="77A11541"/>
    <w:rsid w:val="77A808B6"/>
    <w:rsid w:val="77B01708"/>
    <w:rsid w:val="77CEFDCF"/>
    <w:rsid w:val="77FCFF71"/>
    <w:rsid w:val="781ED029"/>
    <w:rsid w:val="78719F10"/>
    <w:rsid w:val="78AB87FB"/>
    <w:rsid w:val="78CAC9F3"/>
    <w:rsid w:val="790E071C"/>
    <w:rsid w:val="795578FC"/>
    <w:rsid w:val="79A47E95"/>
    <w:rsid w:val="7A3BCDAB"/>
    <w:rsid w:val="7A7A3A98"/>
    <w:rsid w:val="7A8EA0D0"/>
    <w:rsid w:val="7A99EF49"/>
    <w:rsid w:val="7A9FCD4C"/>
    <w:rsid w:val="7AB52AEC"/>
    <w:rsid w:val="7AE75EC8"/>
    <w:rsid w:val="7AF53BE6"/>
    <w:rsid w:val="7AFAE191"/>
    <w:rsid w:val="7B0AEA17"/>
    <w:rsid w:val="7B1ABF76"/>
    <w:rsid w:val="7B4E1348"/>
    <w:rsid w:val="7B5670EB"/>
    <w:rsid w:val="7B5939EA"/>
    <w:rsid w:val="7BA10132"/>
    <w:rsid w:val="7BFC0CB2"/>
    <w:rsid w:val="7C45A7DE"/>
    <w:rsid w:val="7C487995"/>
    <w:rsid w:val="7C748664"/>
    <w:rsid w:val="7CF2414C"/>
    <w:rsid w:val="7D04B620"/>
    <w:rsid w:val="7D449968"/>
    <w:rsid w:val="7D4E2EC6"/>
    <w:rsid w:val="7D5A133B"/>
    <w:rsid w:val="7DE1783F"/>
    <w:rsid w:val="7DF81631"/>
    <w:rsid w:val="7E7EFA6F"/>
    <w:rsid w:val="7E90DAAC"/>
    <w:rsid w:val="7E98A833"/>
    <w:rsid w:val="7F044708"/>
    <w:rsid w:val="7F264972"/>
    <w:rsid w:val="7F733C46"/>
    <w:rsid w:val="7F7E4208"/>
    <w:rsid w:val="7F9406EA"/>
    <w:rsid w:val="7F9854CA"/>
    <w:rsid w:val="7FA5FEAF"/>
    <w:rsid w:val="7FCA1155"/>
    <w:rsid w:val="7FD2232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702B75E6"/>
  <w15:chartTrackingRefBased/>
  <w15:docId w15:val="{D7288358-7F77-4DF5-ACE5-B858339AD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F1011"/>
    <w:pPr>
      <w:spacing w:after="160" w:line="259" w:lineRule="auto"/>
    </w:pPr>
    <w:rPr>
      <w:sz w:val="22"/>
      <w:szCs w:val="22"/>
      <w:lang w:eastAsia="en-US"/>
    </w:rPr>
  </w:style>
  <w:style w:type="paragraph" w:styleId="Ttulo1">
    <w:name w:val="heading 1"/>
    <w:basedOn w:val="Normal"/>
    <w:next w:val="Normal"/>
    <w:link w:val="Ttulo1Char"/>
    <w:uiPriority w:val="9"/>
    <w:qFormat/>
    <w:rsid w:val="007412E5"/>
    <w:pPr>
      <w:keepNext/>
      <w:keepLines/>
      <w:numPr>
        <w:numId w:val="2"/>
      </w:numPr>
      <w:spacing w:after="0"/>
      <w:outlineLvl w:val="0"/>
    </w:pPr>
    <w:rPr>
      <w:rFonts w:asciiTheme="majorHAnsi" w:eastAsiaTheme="majorEastAsia" w:hAnsiTheme="majorHAnsi" w:cstheme="majorBidi"/>
      <w:b/>
      <w:sz w:val="24"/>
      <w:szCs w:val="32"/>
    </w:rPr>
  </w:style>
  <w:style w:type="paragraph" w:styleId="Ttulo2">
    <w:name w:val="heading 2"/>
    <w:basedOn w:val="Normal"/>
    <w:next w:val="Normal"/>
    <w:link w:val="Ttulo2Char"/>
    <w:uiPriority w:val="9"/>
    <w:unhideWhenUsed/>
    <w:qFormat/>
    <w:rsid w:val="00893922"/>
    <w:pPr>
      <w:keepNext/>
      <w:keepLines/>
      <w:spacing w:before="40" w:after="0"/>
      <w:outlineLvl w:val="1"/>
    </w:pPr>
    <w:rPr>
      <w:rFonts w:asciiTheme="majorHAnsi" w:eastAsiaTheme="majorEastAsia" w:hAnsiTheme="majorHAnsi" w:cstheme="majorBidi"/>
      <w:b/>
      <w:sz w:val="24"/>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8F133B"/>
    <w:pPr>
      <w:ind w:left="720"/>
      <w:contextualSpacing/>
    </w:pPr>
  </w:style>
  <w:style w:type="paragraph" w:customStyle="1" w:styleId="numerado">
    <w:name w:val="numerado"/>
    <w:basedOn w:val="Normal"/>
    <w:rsid w:val="00DD1EB9"/>
    <w:pPr>
      <w:spacing w:before="100" w:beforeAutospacing="1" w:after="100" w:afterAutospacing="1" w:line="240" w:lineRule="auto"/>
    </w:pPr>
    <w:rPr>
      <w:rFonts w:ascii="Times New Roman" w:eastAsia="Times New Roman" w:hAnsi="Times New Roman"/>
      <w:sz w:val="24"/>
      <w:szCs w:val="24"/>
      <w:lang w:eastAsia="pt-BR"/>
    </w:rPr>
  </w:style>
  <w:style w:type="paragraph" w:styleId="NormalWeb">
    <w:name w:val="Normal (Web)"/>
    <w:basedOn w:val="Normal"/>
    <w:uiPriority w:val="99"/>
    <w:rsid w:val="00DD1EB9"/>
    <w:pPr>
      <w:suppressAutoHyphens/>
      <w:spacing w:before="280" w:after="280" w:line="240" w:lineRule="auto"/>
    </w:pPr>
    <w:rPr>
      <w:rFonts w:ascii="Times New Roman" w:eastAsia="Times New Roman" w:hAnsi="Times New Roman"/>
      <w:sz w:val="24"/>
      <w:szCs w:val="24"/>
      <w:lang w:eastAsia="zh-CN"/>
    </w:rPr>
  </w:style>
  <w:style w:type="character" w:styleId="Forte">
    <w:name w:val="Strong"/>
    <w:uiPriority w:val="22"/>
    <w:qFormat/>
    <w:rsid w:val="00DD1EB9"/>
    <w:rPr>
      <w:b/>
      <w:bCs/>
    </w:rPr>
  </w:style>
  <w:style w:type="character" w:customStyle="1" w:styleId="scayt-misspell-word">
    <w:name w:val="scayt-misspell-word"/>
    <w:rsid w:val="00DD1EB9"/>
  </w:style>
  <w:style w:type="character" w:customStyle="1" w:styleId="Manoel">
    <w:name w:val="Manoel"/>
    <w:rsid w:val="00DD1EB9"/>
    <w:rPr>
      <w:rFonts w:ascii="Arial" w:hAnsi="Arial" w:cs="Arial"/>
      <w:color w:val="7030A0"/>
      <w:sz w:val="20"/>
    </w:rPr>
  </w:style>
  <w:style w:type="character" w:styleId="Hyperlink">
    <w:name w:val="Hyperlink"/>
    <w:uiPriority w:val="99"/>
    <w:rsid w:val="00DD1EB9"/>
    <w:rPr>
      <w:color w:val="000080"/>
      <w:u w:val="single"/>
    </w:rPr>
  </w:style>
  <w:style w:type="character" w:styleId="nfase">
    <w:name w:val="Emphasis"/>
    <w:uiPriority w:val="20"/>
    <w:qFormat/>
    <w:rsid w:val="00DD1EB9"/>
    <w:rPr>
      <w:i/>
      <w:iCs/>
    </w:rPr>
  </w:style>
  <w:style w:type="paragraph" w:customStyle="1" w:styleId="Nivel2">
    <w:name w:val="Nivel 2"/>
    <w:rsid w:val="00AF06F9"/>
    <w:pPr>
      <w:numPr>
        <w:ilvl w:val="1"/>
        <w:numId w:val="1"/>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rsid w:val="00AF06F9"/>
    <w:pPr>
      <w:numPr>
        <w:ilvl w:val="0"/>
      </w:numPr>
    </w:pPr>
    <w:rPr>
      <w:rFonts w:cs="Arial"/>
      <w:b/>
    </w:rPr>
  </w:style>
  <w:style w:type="paragraph" w:customStyle="1" w:styleId="Nivel3">
    <w:name w:val="Nivel 3"/>
    <w:basedOn w:val="Nivel2"/>
    <w:rsid w:val="00AF06F9"/>
    <w:pPr>
      <w:numPr>
        <w:ilvl w:val="2"/>
      </w:numPr>
    </w:pPr>
    <w:rPr>
      <w:rFonts w:cs="Arial"/>
      <w:color w:val="000000"/>
    </w:rPr>
  </w:style>
  <w:style w:type="paragraph" w:customStyle="1" w:styleId="Nivel4">
    <w:name w:val="Nivel 4"/>
    <w:basedOn w:val="Nivel3"/>
    <w:link w:val="Nivel4Char"/>
    <w:rsid w:val="00AF06F9"/>
    <w:pPr>
      <w:numPr>
        <w:ilvl w:val="3"/>
      </w:numPr>
    </w:pPr>
    <w:rPr>
      <w:color w:val="auto"/>
    </w:rPr>
  </w:style>
  <w:style w:type="paragraph" w:customStyle="1" w:styleId="Nivel5">
    <w:name w:val="Nivel 5"/>
    <w:basedOn w:val="Nivel4"/>
    <w:rsid w:val="00AF06F9"/>
    <w:pPr>
      <w:numPr>
        <w:ilvl w:val="4"/>
      </w:numPr>
      <w:ind w:left="3600" w:hanging="360"/>
    </w:pPr>
  </w:style>
  <w:style w:type="character" w:customStyle="1" w:styleId="Nivel4Char">
    <w:name w:val="Nivel 4 Char"/>
    <w:basedOn w:val="Fontepargpadro"/>
    <w:link w:val="Nivel4"/>
    <w:rsid w:val="00AF06F9"/>
    <w:rPr>
      <w:rFonts w:ascii="Ecofont_Spranq_eco_Sans" w:eastAsia="Arial Unicode MS" w:hAnsi="Ecofont_Spranq_eco_Sans" w:cs="Arial"/>
    </w:rPr>
  </w:style>
  <w:style w:type="paragraph" w:customStyle="1" w:styleId="citaoLU">
    <w:name w:val="citação LU"/>
    <w:basedOn w:val="Normal"/>
    <w:link w:val="citaoLUChar"/>
    <w:rsid w:val="00E7629B"/>
    <w:pPr>
      <w:spacing w:after="240" w:line="240" w:lineRule="auto"/>
      <w:ind w:left="708"/>
      <w:jc w:val="both"/>
    </w:pPr>
    <w:rPr>
      <w:rFonts w:ascii="Times New Roman" w:hAnsi="Times New Roman"/>
      <w:color w:val="000000" w:themeColor="text1"/>
      <w:sz w:val="20"/>
      <w:szCs w:val="20"/>
    </w:rPr>
  </w:style>
  <w:style w:type="character" w:customStyle="1" w:styleId="citaoLUChar">
    <w:name w:val="citação LU Char"/>
    <w:basedOn w:val="Fontepargpadro"/>
    <w:link w:val="citaoLU"/>
    <w:rsid w:val="00E7629B"/>
    <w:rPr>
      <w:rFonts w:ascii="Times New Roman" w:hAnsi="Times New Roman"/>
      <w:color w:val="000000" w:themeColor="text1"/>
      <w:lang w:eastAsia="en-US"/>
    </w:rPr>
  </w:style>
  <w:style w:type="character" w:customStyle="1" w:styleId="markedcontent">
    <w:name w:val="markedcontent"/>
    <w:basedOn w:val="Fontepargpadro"/>
    <w:rsid w:val="00FD67D4"/>
  </w:style>
  <w:style w:type="paragraph" w:styleId="Cabealho">
    <w:name w:val="header"/>
    <w:basedOn w:val="Normal"/>
    <w:link w:val="CabealhoChar"/>
    <w:uiPriority w:val="99"/>
    <w:unhideWhenUsed/>
    <w:rsid w:val="00BF3FF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F3FF2"/>
    <w:rPr>
      <w:sz w:val="22"/>
      <w:szCs w:val="22"/>
      <w:lang w:eastAsia="en-US"/>
    </w:rPr>
  </w:style>
  <w:style w:type="paragraph" w:styleId="Rodap">
    <w:name w:val="footer"/>
    <w:basedOn w:val="Normal"/>
    <w:link w:val="RodapChar"/>
    <w:uiPriority w:val="99"/>
    <w:unhideWhenUsed/>
    <w:rsid w:val="00BF3FF2"/>
    <w:pPr>
      <w:tabs>
        <w:tab w:val="center" w:pos="4252"/>
        <w:tab w:val="right" w:pos="8504"/>
      </w:tabs>
      <w:spacing w:after="0" w:line="240" w:lineRule="auto"/>
    </w:pPr>
  </w:style>
  <w:style w:type="character" w:customStyle="1" w:styleId="RodapChar">
    <w:name w:val="Rodapé Char"/>
    <w:basedOn w:val="Fontepargpadro"/>
    <w:link w:val="Rodap"/>
    <w:uiPriority w:val="99"/>
    <w:rsid w:val="00BF3FF2"/>
    <w:rPr>
      <w:sz w:val="22"/>
      <w:szCs w:val="22"/>
      <w:lang w:eastAsia="en-US"/>
    </w:rPr>
  </w:style>
  <w:style w:type="character" w:styleId="Refdecomentrio">
    <w:name w:val="annotation reference"/>
    <w:basedOn w:val="Fontepargpadro"/>
    <w:uiPriority w:val="99"/>
    <w:semiHidden/>
    <w:unhideWhenUsed/>
    <w:rsid w:val="0009670C"/>
    <w:rPr>
      <w:sz w:val="16"/>
      <w:szCs w:val="16"/>
    </w:rPr>
  </w:style>
  <w:style w:type="paragraph" w:styleId="Textodecomentrio">
    <w:name w:val="annotation text"/>
    <w:basedOn w:val="Normal"/>
    <w:link w:val="TextodecomentrioChar"/>
    <w:uiPriority w:val="99"/>
    <w:semiHidden/>
    <w:unhideWhenUsed/>
    <w:rsid w:val="0009670C"/>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09670C"/>
    <w:rPr>
      <w:lang w:eastAsia="en-US"/>
    </w:rPr>
  </w:style>
  <w:style w:type="paragraph" w:styleId="Assuntodocomentrio">
    <w:name w:val="annotation subject"/>
    <w:basedOn w:val="Textodecomentrio"/>
    <w:next w:val="Textodecomentrio"/>
    <w:link w:val="AssuntodocomentrioChar"/>
    <w:uiPriority w:val="99"/>
    <w:semiHidden/>
    <w:unhideWhenUsed/>
    <w:rsid w:val="0009670C"/>
    <w:rPr>
      <w:b/>
      <w:bCs/>
    </w:rPr>
  </w:style>
  <w:style w:type="character" w:customStyle="1" w:styleId="AssuntodocomentrioChar">
    <w:name w:val="Assunto do comentário Char"/>
    <w:basedOn w:val="TextodecomentrioChar"/>
    <w:link w:val="Assuntodocomentrio"/>
    <w:uiPriority w:val="99"/>
    <w:semiHidden/>
    <w:rsid w:val="0009670C"/>
    <w:rPr>
      <w:b/>
      <w:bCs/>
      <w:lang w:eastAsia="en-US"/>
    </w:rPr>
  </w:style>
  <w:style w:type="paragraph" w:styleId="Textodebalo">
    <w:name w:val="Balloon Text"/>
    <w:basedOn w:val="Normal"/>
    <w:link w:val="TextodebaloChar"/>
    <w:uiPriority w:val="99"/>
    <w:semiHidden/>
    <w:unhideWhenUsed/>
    <w:rsid w:val="0009670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9670C"/>
    <w:rPr>
      <w:rFonts w:ascii="Segoe UI" w:hAnsi="Segoe UI" w:cs="Segoe UI"/>
      <w:sz w:val="18"/>
      <w:szCs w:val="18"/>
      <w:lang w:eastAsia="en-US"/>
    </w:rPr>
  </w:style>
  <w:style w:type="character" w:styleId="HiperlinkVisitado">
    <w:name w:val="FollowedHyperlink"/>
    <w:basedOn w:val="Fontepargpadro"/>
    <w:uiPriority w:val="99"/>
    <w:semiHidden/>
    <w:unhideWhenUsed/>
    <w:rsid w:val="00AB0BCD"/>
    <w:rPr>
      <w:color w:val="954F72" w:themeColor="followedHyperlink"/>
      <w:u w:val="single"/>
    </w:rPr>
  </w:style>
  <w:style w:type="paragraph" w:customStyle="1" w:styleId="Tpico">
    <w:name w:val="Tópico"/>
    <w:basedOn w:val="Normal"/>
    <w:link w:val="TpicoChar"/>
    <w:qFormat/>
    <w:rsid w:val="007477BF"/>
    <w:pPr>
      <w:shd w:val="clear" w:color="auto" w:fill="D9D9D9" w:themeFill="background1" w:themeFillShade="D9"/>
      <w:spacing w:after="0" w:line="240" w:lineRule="auto"/>
      <w:jc w:val="both"/>
    </w:pPr>
    <w:rPr>
      <w:rFonts w:asciiTheme="majorHAnsi" w:hAnsiTheme="majorHAnsi" w:cstheme="majorHAnsi"/>
      <w:b/>
      <w:bCs/>
      <w:sz w:val="24"/>
      <w:szCs w:val="24"/>
    </w:rPr>
  </w:style>
  <w:style w:type="paragraph" w:customStyle="1" w:styleId="Estilo1">
    <w:name w:val="Estilo1"/>
    <w:basedOn w:val="Ttulo1"/>
    <w:link w:val="Estilo1Char"/>
    <w:qFormat/>
    <w:rsid w:val="007412E5"/>
  </w:style>
  <w:style w:type="character" w:customStyle="1" w:styleId="TpicoChar">
    <w:name w:val="Tópico Char"/>
    <w:basedOn w:val="Fontepargpadro"/>
    <w:link w:val="Tpico"/>
    <w:rsid w:val="007477BF"/>
    <w:rPr>
      <w:rFonts w:asciiTheme="majorHAnsi" w:hAnsiTheme="majorHAnsi" w:cstheme="majorHAnsi"/>
      <w:b/>
      <w:bCs/>
      <w:sz w:val="24"/>
      <w:szCs w:val="24"/>
      <w:shd w:val="clear" w:color="auto" w:fill="D9D9D9" w:themeFill="background1" w:themeFillShade="D9"/>
      <w:lang w:eastAsia="en-US"/>
    </w:rPr>
  </w:style>
  <w:style w:type="character" w:customStyle="1" w:styleId="Ttulo2Char">
    <w:name w:val="Título 2 Char"/>
    <w:basedOn w:val="Fontepargpadro"/>
    <w:link w:val="Ttulo2"/>
    <w:uiPriority w:val="9"/>
    <w:rsid w:val="00893922"/>
    <w:rPr>
      <w:rFonts w:asciiTheme="majorHAnsi" w:eastAsiaTheme="majorEastAsia" w:hAnsiTheme="majorHAnsi" w:cstheme="majorBidi"/>
      <w:b/>
      <w:sz w:val="24"/>
      <w:szCs w:val="26"/>
      <w:lang w:eastAsia="en-US"/>
    </w:rPr>
  </w:style>
  <w:style w:type="character" w:customStyle="1" w:styleId="Ttulo1Char">
    <w:name w:val="Título 1 Char"/>
    <w:basedOn w:val="Fontepargpadro"/>
    <w:link w:val="Ttulo1"/>
    <w:uiPriority w:val="9"/>
    <w:rsid w:val="007412E5"/>
    <w:rPr>
      <w:rFonts w:asciiTheme="majorHAnsi" w:eastAsiaTheme="majorEastAsia" w:hAnsiTheme="majorHAnsi" w:cstheme="majorBidi"/>
      <w:b/>
      <w:sz w:val="24"/>
      <w:szCs w:val="32"/>
      <w:lang w:eastAsia="en-US"/>
    </w:rPr>
  </w:style>
  <w:style w:type="character" w:customStyle="1" w:styleId="Estilo1Char">
    <w:name w:val="Estilo1 Char"/>
    <w:basedOn w:val="Ttulo1Char"/>
    <w:link w:val="Estilo1"/>
    <w:rsid w:val="007412E5"/>
    <w:rPr>
      <w:rFonts w:asciiTheme="majorHAnsi" w:eastAsiaTheme="majorEastAsia" w:hAnsiTheme="majorHAnsi" w:cstheme="majorBidi"/>
      <w:b/>
      <w:sz w:val="24"/>
      <w:szCs w:val="32"/>
      <w:lang w:eastAsia="en-US"/>
    </w:rPr>
  </w:style>
  <w:style w:type="paragraph" w:styleId="Subttulo">
    <w:name w:val="Subtitle"/>
    <w:basedOn w:val="Normal"/>
    <w:next w:val="Normal"/>
    <w:link w:val="SubttuloChar"/>
    <w:uiPriority w:val="11"/>
    <w:qFormat/>
    <w:rsid w:val="00AF3A98"/>
    <w:pPr>
      <w:spacing w:after="0"/>
    </w:pPr>
    <w:rPr>
      <w:rFonts w:asciiTheme="majorHAnsi" w:eastAsiaTheme="minorEastAsia" w:hAnsiTheme="majorHAnsi" w:cstheme="minorBidi"/>
      <w:spacing w:val="15"/>
      <w:sz w:val="24"/>
    </w:rPr>
  </w:style>
  <w:style w:type="character" w:customStyle="1" w:styleId="SubttuloChar">
    <w:name w:val="Subtítulo Char"/>
    <w:basedOn w:val="Fontepargpadro"/>
    <w:link w:val="Subttulo"/>
    <w:uiPriority w:val="11"/>
    <w:rsid w:val="00AF3A98"/>
    <w:rPr>
      <w:rFonts w:asciiTheme="majorHAnsi" w:eastAsiaTheme="minorEastAsia" w:hAnsiTheme="majorHAnsi" w:cstheme="minorBidi"/>
      <w:spacing w:val="15"/>
      <w:sz w:val="24"/>
      <w:szCs w:val="22"/>
      <w:lang w:eastAsia="en-US"/>
    </w:rPr>
  </w:style>
  <w:style w:type="paragraph" w:styleId="Textodenotaderodap">
    <w:name w:val="footnote text"/>
    <w:basedOn w:val="Normal"/>
    <w:link w:val="TextodenotaderodapChar"/>
    <w:uiPriority w:val="99"/>
    <w:semiHidden/>
    <w:unhideWhenUsed/>
    <w:rsid w:val="007C23A6"/>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7C23A6"/>
    <w:rPr>
      <w:lang w:eastAsia="en-US"/>
    </w:rPr>
  </w:style>
  <w:style w:type="character" w:styleId="Refdenotaderodap">
    <w:name w:val="footnote reference"/>
    <w:basedOn w:val="Fontepargpadro"/>
    <w:uiPriority w:val="99"/>
    <w:semiHidden/>
    <w:unhideWhenUsed/>
    <w:rsid w:val="007C23A6"/>
    <w:rPr>
      <w:vertAlign w:val="superscript"/>
    </w:rPr>
  </w:style>
  <w:style w:type="paragraph" w:styleId="SemEspaamento">
    <w:name w:val="No Spacing"/>
    <w:uiPriority w:val="1"/>
    <w:qFormat/>
    <w:rsid w:val="008A76D0"/>
    <w:rPr>
      <w:sz w:val="22"/>
      <w:szCs w:val="22"/>
      <w:lang w:eastAsia="en-US"/>
    </w:rPr>
  </w:style>
  <w:style w:type="paragraph" w:styleId="Reviso">
    <w:name w:val="Revision"/>
    <w:hidden/>
    <w:uiPriority w:val="99"/>
    <w:semiHidden/>
    <w:rsid w:val="00B403B1"/>
    <w:rPr>
      <w:sz w:val="22"/>
      <w:szCs w:val="22"/>
      <w:lang w:eastAsia="en-US"/>
    </w:rPr>
  </w:style>
  <w:style w:type="paragraph" w:customStyle="1" w:styleId="PargrafoParecer">
    <w:name w:val="Parágrafo_Parecer"/>
    <w:basedOn w:val="PargrafodaLista"/>
    <w:rsid w:val="00B403B1"/>
    <w:pPr>
      <w:numPr>
        <w:numId w:val="3"/>
      </w:numPr>
      <w:tabs>
        <w:tab w:val="left" w:pos="1418"/>
      </w:tabs>
      <w:suppressAutoHyphens/>
      <w:spacing w:before="120" w:after="120" w:line="240" w:lineRule="auto"/>
      <w:ind w:left="0" w:firstLine="0"/>
      <w:contextualSpacing w:val="0"/>
      <w:jc w:val="both"/>
    </w:pPr>
    <w:rPr>
      <w:rFonts w:ascii="Arial" w:eastAsia="Times New Roman" w:hAnsi="Arial"/>
      <w:sz w:val="20"/>
      <w:szCs w:val="20"/>
      <w:lang w:eastAsia="ar-SA"/>
    </w:rPr>
  </w:style>
  <w:style w:type="paragraph" w:styleId="Citao">
    <w:name w:val="Quote"/>
    <w:aliases w:val="Citação AGU,TCU"/>
    <w:basedOn w:val="PargrafoParecer"/>
    <w:next w:val="Normal"/>
    <w:link w:val="CitaoChar"/>
    <w:uiPriority w:val="29"/>
    <w:qFormat/>
    <w:rsid w:val="00B403B1"/>
    <w:pPr>
      <w:numPr>
        <w:numId w:val="0"/>
      </w:numPr>
      <w:spacing w:before="0" w:after="0"/>
      <w:ind w:left="1701" w:firstLine="425"/>
    </w:pPr>
    <w:rPr>
      <w:sz w:val="18"/>
    </w:rPr>
  </w:style>
  <w:style w:type="character" w:customStyle="1" w:styleId="CitaoChar">
    <w:name w:val="Citação Char"/>
    <w:aliases w:val="Citação AGU Char,TCU Char"/>
    <w:basedOn w:val="Fontepargpadro"/>
    <w:link w:val="Citao"/>
    <w:uiPriority w:val="29"/>
    <w:rsid w:val="00B403B1"/>
    <w:rPr>
      <w:rFonts w:ascii="Arial" w:eastAsia="Times New Roman" w:hAnsi="Arial"/>
      <w:sz w:val="18"/>
      <w:lang w:eastAsia="ar-SA"/>
    </w:rPr>
  </w:style>
  <w:style w:type="paragraph" w:customStyle="1" w:styleId="ApTit">
    <w:name w:val="ApTit"/>
    <w:basedOn w:val="Ttulo1"/>
    <w:next w:val="TextoAGU"/>
    <w:link w:val="ApTitChar"/>
    <w:qFormat/>
    <w:rsid w:val="00B403B1"/>
    <w:pPr>
      <w:numPr>
        <w:numId w:val="4"/>
      </w:numPr>
      <w:spacing w:before="360" w:after="120" w:line="276" w:lineRule="auto"/>
      <w:jc w:val="both"/>
      <w:outlineLvl w:val="1"/>
    </w:pPr>
    <w:rPr>
      <w:rFonts w:ascii="Arial" w:hAnsi="Arial"/>
      <w:color w:val="000000"/>
    </w:rPr>
  </w:style>
  <w:style w:type="character" w:customStyle="1" w:styleId="ApTitChar">
    <w:name w:val="ApTit Char"/>
    <w:basedOn w:val="Ttulo1Char"/>
    <w:link w:val="ApTit"/>
    <w:rsid w:val="00B403B1"/>
    <w:rPr>
      <w:rFonts w:ascii="Arial" w:eastAsiaTheme="majorEastAsia" w:hAnsi="Arial" w:cstheme="majorBidi"/>
      <w:b/>
      <w:color w:val="000000"/>
      <w:sz w:val="24"/>
      <w:szCs w:val="32"/>
      <w:lang w:eastAsia="en-US"/>
    </w:rPr>
  </w:style>
  <w:style w:type="paragraph" w:customStyle="1" w:styleId="TextoAGU">
    <w:name w:val="Texto AGU"/>
    <w:basedOn w:val="PargrafoParecer"/>
    <w:link w:val="TextoAGUChar"/>
    <w:rsid w:val="00B403B1"/>
    <w:pPr>
      <w:ind w:left="7590" w:hanging="360"/>
    </w:pPr>
  </w:style>
  <w:style w:type="character" w:customStyle="1" w:styleId="TextoAGUChar">
    <w:name w:val="Texto AGU Char"/>
    <w:basedOn w:val="Fontepargpadro"/>
    <w:link w:val="TextoAGU"/>
    <w:rsid w:val="00B403B1"/>
    <w:rPr>
      <w:rFonts w:ascii="Arial" w:eastAsia="Times New Roman" w:hAnsi="Arial"/>
      <w:lang w:eastAsia="ar-SA"/>
    </w:rPr>
  </w:style>
  <w:style w:type="paragraph" w:customStyle="1" w:styleId="TJTRSubTT">
    <w:name w:val="TJTRSubTT"/>
    <w:basedOn w:val="Ttulo1"/>
    <w:link w:val="TJTRSubTTChar"/>
    <w:qFormat/>
    <w:rsid w:val="005078A2"/>
    <w:pPr>
      <w:shd w:val="clear" w:color="auto" w:fill="F2F2F2" w:themeFill="background1" w:themeFillShade="F2"/>
      <w:spacing w:before="360" w:after="120" w:line="276" w:lineRule="auto"/>
      <w:outlineLvl w:val="1"/>
    </w:pPr>
    <w:rPr>
      <w:caps/>
    </w:rPr>
  </w:style>
  <w:style w:type="paragraph" w:customStyle="1" w:styleId="TJTR-Ttulo">
    <w:name w:val="TJTR-Título"/>
    <w:basedOn w:val="Normal"/>
    <w:link w:val="TJTR-TtuloChar"/>
    <w:qFormat/>
    <w:rsid w:val="005078A2"/>
    <w:pPr>
      <w:shd w:val="clear" w:color="auto" w:fill="D9D9D9" w:themeFill="background1" w:themeFillShade="D9"/>
      <w:spacing w:before="360" w:after="360" w:line="240" w:lineRule="auto"/>
      <w:ind w:left="-1701" w:right="-1701"/>
      <w:jc w:val="center"/>
      <w:outlineLvl w:val="0"/>
    </w:pPr>
    <w:rPr>
      <w:rFonts w:asciiTheme="majorHAnsi" w:hAnsiTheme="majorHAnsi" w:cstheme="majorHAnsi"/>
      <w:b/>
      <w:bCs/>
      <w:sz w:val="44"/>
      <w:szCs w:val="44"/>
    </w:rPr>
  </w:style>
  <w:style w:type="character" w:customStyle="1" w:styleId="TJTRSubTTChar">
    <w:name w:val="TJTRSubTT Char"/>
    <w:basedOn w:val="Ttulo1Char"/>
    <w:link w:val="TJTRSubTT"/>
    <w:rsid w:val="005078A2"/>
    <w:rPr>
      <w:rFonts w:asciiTheme="majorHAnsi" w:eastAsiaTheme="majorEastAsia" w:hAnsiTheme="majorHAnsi" w:cstheme="majorBidi"/>
      <w:b/>
      <w:caps/>
      <w:sz w:val="24"/>
      <w:szCs w:val="32"/>
      <w:shd w:val="clear" w:color="auto" w:fill="F2F2F2" w:themeFill="background1" w:themeFillShade="F2"/>
      <w:lang w:eastAsia="en-US"/>
    </w:rPr>
  </w:style>
  <w:style w:type="table" w:styleId="Tabelacomgrade">
    <w:name w:val="Table Grid"/>
    <w:basedOn w:val="Tabelanormal"/>
    <w:uiPriority w:val="39"/>
    <w:rsid w:val="00F01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JTR-TtuloChar">
    <w:name w:val="TJTR-Título Char"/>
    <w:basedOn w:val="Fontepargpadro"/>
    <w:link w:val="TJTR-Ttulo"/>
    <w:rsid w:val="005078A2"/>
    <w:rPr>
      <w:rFonts w:asciiTheme="majorHAnsi" w:hAnsiTheme="majorHAnsi" w:cstheme="majorHAnsi"/>
      <w:b/>
      <w:bCs/>
      <w:sz w:val="44"/>
      <w:szCs w:val="44"/>
      <w:shd w:val="clear" w:color="auto" w:fill="D9D9D9" w:themeFill="background1" w:themeFillShade="D9"/>
      <w:lang w:eastAsia="en-US"/>
    </w:rPr>
  </w:style>
  <w:style w:type="paragraph" w:customStyle="1" w:styleId="Normal-TJTR">
    <w:name w:val="Normal-TJTR"/>
    <w:basedOn w:val="Normal"/>
    <w:link w:val="Normal-TJTRChar"/>
    <w:qFormat/>
    <w:rsid w:val="00432724"/>
    <w:pPr>
      <w:jc w:val="both"/>
    </w:pPr>
  </w:style>
  <w:style w:type="paragraph" w:customStyle="1" w:styleId="TJTRSubTT-Nv2">
    <w:name w:val="TJTRSubTT-Nv2"/>
    <w:basedOn w:val="Subttulo"/>
    <w:link w:val="TJTRSubTT-Nv2Char"/>
    <w:qFormat/>
    <w:rsid w:val="005078A2"/>
    <w:pPr>
      <w:spacing w:before="120" w:after="120" w:line="276" w:lineRule="auto"/>
      <w:outlineLvl w:val="2"/>
    </w:pPr>
    <w:rPr>
      <w:rFonts w:cstheme="majorHAnsi"/>
      <w:b/>
      <w:bCs/>
    </w:rPr>
  </w:style>
  <w:style w:type="character" w:customStyle="1" w:styleId="Normal-TJTRChar">
    <w:name w:val="Normal-TJTR Char"/>
    <w:basedOn w:val="Fontepargpadro"/>
    <w:link w:val="Normal-TJTR"/>
    <w:rsid w:val="00432724"/>
    <w:rPr>
      <w:sz w:val="22"/>
      <w:szCs w:val="22"/>
      <w:lang w:eastAsia="en-US"/>
    </w:rPr>
  </w:style>
  <w:style w:type="paragraph" w:customStyle="1" w:styleId="ApTexto">
    <w:name w:val="ApTexto"/>
    <w:basedOn w:val="Normal"/>
    <w:link w:val="ApTextoChar"/>
    <w:qFormat/>
    <w:rsid w:val="005078A2"/>
    <w:pPr>
      <w:spacing w:before="120" w:after="120" w:line="240" w:lineRule="auto"/>
      <w:ind w:firstLine="1134"/>
      <w:jc w:val="both"/>
    </w:pPr>
    <w:rPr>
      <w:rFonts w:asciiTheme="majorHAnsi" w:hAnsiTheme="majorHAnsi" w:cstheme="majorHAnsi"/>
      <w:sz w:val="24"/>
      <w:szCs w:val="24"/>
    </w:rPr>
  </w:style>
  <w:style w:type="character" w:customStyle="1" w:styleId="TJTRSubTT-Nv2Char">
    <w:name w:val="TJTRSubTT-Nv2 Char"/>
    <w:basedOn w:val="SubttuloChar"/>
    <w:link w:val="TJTRSubTT-Nv2"/>
    <w:rsid w:val="005078A2"/>
    <w:rPr>
      <w:rFonts w:asciiTheme="majorHAnsi" w:eastAsiaTheme="minorEastAsia" w:hAnsiTheme="majorHAnsi" w:cstheme="majorHAnsi"/>
      <w:b/>
      <w:bCs/>
      <w:spacing w:val="15"/>
      <w:sz w:val="24"/>
      <w:szCs w:val="22"/>
      <w:lang w:eastAsia="en-US"/>
    </w:rPr>
  </w:style>
  <w:style w:type="paragraph" w:customStyle="1" w:styleId="ApCitao">
    <w:name w:val="ApCitação"/>
    <w:basedOn w:val="Normal"/>
    <w:link w:val="ApCitaoChar"/>
    <w:qFormat/>
    <w:rsid w:val="00EE66F5"/>
    <w:pPr>
      <w:spacing w:before="120" w:after="120" w:line="240" w:lineRule="auto"/>
      <w:ind w:left="2268" w:firstLine="709"/>
      <w:jc w:val="both"/>
    </w:pPr>
    <w:rPr>
      <w:rFonts w:asciiTheme="majorHAnsi" w:hAnsiTheme="majorHAnsi" w:cstheme="majorHAnsi"/>
      <w:sz w:val="20"/>
      <w:szCs w:val="24"/>
      <w:lang w:eastAsia="pt-BR"/>
    </w:rPr>
  </w:style>
  <w:style w:type="character" w:customStyle="1" w:styleId="ApTextoChar">
    <w:name w:val="ApTexto Char"/>
    <w:basedOn w:val="Fontepargpadro"/>
    <w:link w:val="ApTexto"/>
    <w:rsid w:val="005078A2"/>
    <w:rPr>
      <w:rFonts w:asciiTheme="majorHAnsi" w:hAnsiTheme="majorHAnsi" w:cstheme="majorHAnsi"/>
      <w:sz w:val="24"/>
      <w:szCs w:val="24"/>
      <w:lang w:eastAsia="en-US"/>
    </w:rPr>
  </w:style>
  <w:style w:type="paragraph" w:customStyle="1" w:styleId="ApSubttulo">
    <w:name w:val="ApSubtítulo"/>
    <w:basedOn w:val="Normal"/>
    <w:link w:val="ApSubttuloChar"/>
    <w:qFormat/>
    <w:rsid w:val="005078A2"/>
    <w:pPr>
      <w:spacing w:before="240" w:after="120" w:line="240" w:lineRule="auto"/>
      <w:jc w:val="both"/>
    </w:pPr>
    <w:rPr>
      <w:rFonts w:asciiTheme="majorHAnsi" w:hAnsiTheme="majorHAnsi" w:cstheme="majorHAnsi"/>
      <w:b/>
      <w:bCs/>
      <w:sz w:val="24"/>
      <w:szCs w:val="24"/>
    </w:rPr>
  </w:style>
  <w:style w:type="character" w:customStyle="1" w:styleId="ApCitaoChar">
    <w:name w:val="ApCitação Char"/>
    <w:basedOn w:val="Fontepargpadro"/>
    <w:link w:val="ApCitao"/>
    <w:rsid w:val="00EE66F5"/>
    <w:rPr>
      <w:rFonts w:asciiTheme="majorHAnsi" w:hAnsiTheme="majorHAnsi" w:cstheme="majorHAnsi"/>
      <w:szCs w:val="24"/>
    </w:rPr>
  </w:style>
  <w:style w:type="paragraph" w:customStyle="1" w:styleId="ApLista">
    <w:name w:val="ApLista"/>
    <w:basedOn w:val="ApTexto"/>
    <w:link w:val="ApListaChar"/>
    <w:qFormat/>
    <w:rsid w:val="00EE66F5"/>
    <w:pPr>
      <w:numPr>
        <w:numId w:val="5"/>
      </w:numPr>
      <w:ind w:left="1134" w:hanging="11"/>
    </w:pPr>
  </w:style>
  <w:style w:type="character" w:customStyle="1" w:styleId="ApSubttuloChar">
    <w:name w:val="ApSubtítulo Char"/>
    <w:basedOn w:val="Fontepargpadro"/>
    <w:link w:val="ApSubttulo"/>
    <w:rsid w:val="005078A2"/>
    <w:rPr>
      <w:rFonts w:asciiTheme="majorHAnsi" w:hAnsiTheme="majorHAnsi" w:cstheme="majorHAnsi"/>
      <w:b/>
      <w:bCs/>
      <w:sz w:val="24"/>
      <w:szCs w:val="24"/>
      <w:lang w:eastAsia="en-US"/>
    </w:rPr>
  </w:style>
  <w:style w:type="character" w:customStyle="1" w:styleId="ApListaChar">
    <w:name w:val="ApLista Char"/>
    <w:basedOn w:val="ApTextoChar"/>
    <w:link w:val="ApLista"/>
    <w:rsid w:val="00EE66F5"/>
    <w:rPr>
      <w:rFonts w:asciiTheme="majorHAnsi" w:hAnsiTheme="majorHAnsi" w:cstheme="majorHAnsi"/>
      <w:sz w:val="24"/>
      <w:szCs w:val="24"/>
      <w:lang w:eastAsia="en-US"/>
    </w:rPr>
  </w:style>
  <w:style w:type="character" w:customStyle="1" w:styleId="MenoPendente1">
    <w:name w:val="Menção Pendente1"/>
    <w:basedOn w:val="Fontepargpadro"/>
    <w:uiPriority w:val="99"/>
    <w:semiHidden/>
    <w:unhideWhenUsed/>
    <w:rsid w:val="007A0489"/>
    <w:rPr>
      <w:color w:val="605E5C"/>
      <w:shd w:val="clear" w:color="auto" w:fill="E1DFDD"/>
    </w:rPr>
  </w:style>
  <w:style w:type="paragraph" w:styleId="CabealhodoSumrio">
    <w:name w:val="TOC Heading"/>
    <w:basedOn w:val="Ttulo1"/>
    <w:next w:val="Normal"/>
    <w:uiPriority w:val="39"/>
    <w:unhideWhenUsed/>
    <w:qFormat/>
    <w:rsid w:val="00886ABE"/>
    <w:pPr>
      <w:numPr>
        <w:numId w:val="0"/>
      </w:numPr>
      <w:spacing w:before="240"/>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2E10C4"/>
    <w:pPr>
      <w:tabs>
        <w:tab w:val="right" w:leader="dot" w:pos="9060"/>
      </w:tabs>
      <w:spacing w:after="100"/>
    </w:pPr>
    <w:rPr>
      <w:rFonts w:asciiTheme="majorHAnsi" w:hAnsiTheme="majorHAnsi" w:cstheme="majorHAnsi"/>
      <w:b/>
      <w:bCs/>
      <w:noProof/>
      <w:sz w:val="24"/>
      <w:szCs w:val="24"/>
    </w:rPr>
  </w:style>
  <w:style w:type="paragraph" w:styleId="Sumrio2">
    <w:name w:val="toc 2"/>
    <w:basedOn w:val="Normal"/>
    <w:next w:val="Normal"/>
    <w:autoRedefine/>
    <w:uiPriority w:val="39"/>
    <w:unhideWhenUsed/>
    <w:rsid w:val="008440D0"/>
    <w:pPr>
      <w:tabs>
        <w:tab w:val="left" w:pos="709"/>
        <w:tab w:val="right" w:leader="dot" w:pos="9060"/>
      </w:tabs>
      <w:spacing w:after="100"/>
      <w:ind w:left="220"/>
    </w:pPr>
    <w:rPr>
      <w:rFonts w:cstheme="majorHAnsi"/>
      <w:noProof/>
    </w:rPr>
  </w:style>
  <w:style w:type="paragraph" w:styleId="Sumrio3">
    <w:name w:val="toc 3"/>
    <w:basedOn w:val="Normal"/>
    <w:next w:val="Normal"/>
    <w:autoRedefine/>
    <w:uiPriority w:val="39"/>
    <w:unhideWhenUsed/>
    <w:rsid w:val="00886ABE"/>
    <w:pPr>
      <w:spacing w:after="100"/>
      <w:ind w:left="440"/>
    </w:pPr>
  </w:style>
  <w:style w:type="character" w:customStyle="1" w:styleId="MenoPendente2">
    <w:name w:val="Menção Pendente2"/>
    <w:basedOn w:val="Fontepargpadro"/>
    <w:uiPriority w:val="99"/>
    <w:semiHidden/>
    <w:unhideWhenUsed/>
    <w:rsid w:val="006879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33892">
      <w:bodyDiv w:val="1"/>
      <w:marLeft w:val="0"/>
      <w:marRight w:val="0"/>
      <w:marTop w:val="0"/>
      <w:marBottom w:val="0"/>
      <w:divBdr>
        <w:top w:val="none" w:sz="0" w:space="0" w:color="auto"/>
        <w:left w:val="none" w:sz="0" w:space="0" w:color="auto"/>
        <w:bottom w:val="none" w:sz="0" w:space="0" w:color="auto"/>
        <w:right w:val="none" w:sz="0" w:space="0" w:color="auto"/>
      </w:divBdr>
    </w:div>
    <w:div w:id="117382739">
      <w:bodyDiv w:val="1"/>
      <w:marLeft w:val="0"/>
      <w:marRight w:val="0"/>
      <w:marTop w:val="0"/>
      <w:marBottom w:val="0"/>
      <w:divBdr>
        <w:top w:val="none" w:sz="0" w:space="0" w:color="auto"/>
        <w:left w:val="none" w:sz="0" w:space="0" w:color="auto"/>
        <w:bottom w:val="none" w:sz="0" w:space="0" w:color="auto"/>
        <w:right w:val="none" w:sz="0" w:space="0" w:color="auto"/>
      </w:divBdr>
    </w:div>
    <w:div w:id="168952483">
      <w:bodyDiv w:val="1"/>
      <w:marLeft w:val="0"/>
      <w:marRight w:val="0"/>
      <w:marTop w:val="0"/>
      <w:marBottom w:val="0"/>
      <w:divBdr>
        <w:top w:val="none" w:sz="0" w:space="0" w:color="auto"/>
        <w:left w:val="none" w:sz="0" w:space="0" w:color="auto"/>
        <w:bottom w:val="none" w:sz="0" w:space="0" w:color="auto"/>
        <w:right w:val="none" w:sz="0" w:space="0" w:color="auto"/>
      </w:divBdr>
    </w:div>
    <w:div w:id="190531026">
      <w:bodyDiv w:val="1"/>
      <w:marLeft w:val="0"/>
      <w:marRight w:val="0"/>
      <w:marTop w:val="0"/>
      <w:marBottom w:val="0"/>
      <w:divBdr>
        <w:top w:val="none" w:sz="0" w:space="0" w:color="auto"/>
        <w:left w:val="none" w:sz="0" w:space="0" w:color="auto"/>
        <w:bottom w:val="none" w:sz="0" w:space="0" w:color="auto"/>
        <w:right w:val="none" w:sz="0" w:space="0" w:color="auto"/>
      </w:divBdr>
    </w:div>
    <w:div w:id="246618968">
      <w:bodyDiv w:val="1"/>
      <w:marLeft w:val="0"/>
      <w:marRight w:val="0"/>
      <w:marTop w:val="0"/>
      <w:marBottom w:val="0"/>
      <w:divBdr>
        <w:top w:val="none" w:sz="0" w:space="0" w:color="auto"/>
        <w:left w:val="none" w:sz="0" w:space="0" w:color="auto"/>
        <w:bottom w:val="none" w:sz="0" w:space="0" w:color="auto"/>
        <w:right w:val="none" w:sz="0" w:space="0" w:color="auto"/>
      </w:divBdr>
    </w:div>
    <w:div w:id="258294157">
      <w:bodyDiv w:val="1"/>
      <w:marLeft w:val="0"/>
      <w:marRight w:val="0"/>
      <w:marTop w:val="0"/>
      <w:marBottom w:val="0"/>
      <w:divBdr>
        <w:top w:val="none" w:sz="0" w:space="0" w:color="auto"/>
        <w:left w:val="none" w:sz="0" w:space="0" w:color="auto"/>
        <w:bottom w:val="none" w:sz="0" w:space="0" w:color="auto"/>
        <w:right w:val="none" w:sz="0" w:space="0" w:color="auto"/>
      </w:divBdr>
    </w:div>
    <w:div w:id="320237843">
      <w:bodyDiv w:val="1"/>
      <w:marLeft w:val="0"/>
      <w:marRight w:val="0"/>
      <w:marTop w:val="0"/>
      <w:marBottom w:val="0"/>
      <w:divBdr>
        <w:top w:val="none" w:sz="0" w:space="0" w:color="auto"/>
        <w:left w:val="none" w:sz="0" w:space="0" w:color="auto"/>
        <w:bottom w:val="none" w:sz="0" w:space="0" w:color="auto"/>
        <w:right w:val="none" w:sz="0" w:space="0" w:color="auto"/>
      </w:divBdr>
    </w:div>
    <w:div w:id="336811640">
      <w:bodyDiv w:val="1"/>
      <w:marLeft w:val="0"/>
      <w:marRight w:val="0"/>
      <w:marTop w:val="0"/>
      <w:marBottom w:val="0"/>
      <w:divBdr>
        <w:top w:val="none" w:sz="0" w:space="0" w:color="auto"/>
        <w:left w:val="none" w:sz="0" w:space="0" w:color="auto"/>
        <w:bottom w:val="none" w:sz="0" w:space="0" w:color="auto"/>
        <w:right w:val="none" w:sz="0" w:space="0" w:color="auto"/>
      </w:divBdr>
      <w:divsChild>
        <w:div w:id="2101946145">
          <w:blockQuote w:val="1"/>
          <w:marLeft w:val="720"/>
          <w:marRight w:val="720"/>
          <w:marTop w:val="100"/>
          <w:marBottom w:val="100"/>
          <w:divBdr>
            <w:top w:val="none" w:sz="0" w:space="0" w:color="auto"/>
            <w:left w:val="none" w:sz="0" w:space="0" w:color="auto"/>
            <w:bottom w:val="none" w:sz="0" w:space="0" w:color="auto"/>
            <w:right w:val="none" w:sz="0" w:space="0" w:color="auto"/>
          </w:divBdr>
        </w:div>
        <w:div w:id="553852169">
          <w:blockQuote w:val="1"/>
          <w:marLeft w:val="720"/>
          <w:marRight w:val="720"/>
          <w:marTop w:val="100"/>
          <w:marBottom w:val="100"/>
          <w:divBdr>
            <w:top w:val="none" w:sz="0" w:space="0" w:color="auto"/>
            <w:left w:val="none" w:sz="0" w:space="0" w:color="auto"/>
            <w:bottom w:val="none" w:sz="0" w:space="0" w:color="auto"/>
            <w:right w:val="none" w:sz="0" w:space="0" w:color="auto"/>
          </w:divBdr>
        </w:div>
        <w:div w:id="2134714835">
          <w:blockQuote w:val="1"/>
          <w:marLeft w:val="720"/>
          <w:marRight w:val="720"/>
          <w:marTop w:val="100"/>
          <w:marBottom w:val="100"/>
          <w:divBdr>
            <w:top w:val="none" w:sz="0" w:space="0" w:color="auto"/>
            <w:left w:val="none" w:sz="0" w:space="0" w:color="auto"/>
            <w:bottom w:val="none" w:sz="0" w:space="0" w:color="auto"/>
            <w:right w:val="none" w:sz="0" w:space="0" w:color="auto"/>
          </w:divBdr>
        </w:div>
        <w:div w:id="629165596">
          <w:blockQuote w:val="1"/>
          <w:marLeft w:val="720"/>
          <w:marRight w:val="720"/>
          <w:marTop w:val="100"/>
          <w:marBottom w:val="100"/>
          <w:divBdr>
            <w:top w:val="none" w:sz="0" w:space="0" w:color="auto"/>
            <w:left w:val="none" w:sz="0" w:space="0" w:color="auto"/>
            <w:bottom w:val="none" w:sz="0" w:space="0" w:color="auto"/>
            <w:right w:val="none" w:sz="0" w:space="0" w:color="auto"/>
          </w:divBdr>
        </w:div>
        <w:div w:id="9133230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4330240">
      <w:bodyDiv w:val="1"/>
      <w:marLeft w:val="0"/>
      <w:marRight w:val="0"/>
      <w:marTop w:val="0"/>
      <w:marBottom w:val="0"/>
      <w:divBdr>
        <w:top w:val="none" w:sz="0" w:space="0" w:color="auto"/>
        <w:left w:val="none" w:sz="0" w:space="0" w:color="auto"/>
        <w:bottom w:val="none" w:sz="0" w:space="0" w:color="auto"/>
        <w:right w:val="none" w:sz="0" w:space="0" w:color="auto"/>
      </w:divBdr>
    </w:div>
    <w:div w:id="590506437">
      <w:bodyDiv w:val="1"/>
      <w:marLeft w:val="0"/>
      <w:marRight w:val="0"/>
      <w:marTop w:val="0"/>
      <w:marBottom w:val="0"/>
      <w:divBdr>
        <w:top w:val="none" w:sz="0" w:space="0" w:color="auto"/>
        <w:left w:val="none" w:sz="0" w:space="0" w:color="auto"/>
        <w:bottom w:val="none" w:sz="0" w:space="0" w:color="auto"/>
        <w:right w:val="none" w:sz="0" w:space="0" w:color="auto"/>
      </w:divBdr>
      <w:divsChild>
        <w:div w:id="342436107">
          <w:blockQuote w:val="1"/>
          <w:marLeft w:val="720"/>
          <w:marRight w:val="0"/>
          <w:marTop w:val="0"/>
          <w:marBottom w:val="48"/>
          <w:divBdr>
            <w:top w:val="none" w:sz="0" w:space="0" w:color="auto"/>
            <w:left w:val="none" w:sz="0" w:space="0" w:color="auto"/>
            <w:bottom w:val="none" w:sz="0" w:space="0" w:color="auto"/>
            <w:right w:val="none" w:sz="0" w:space="0" w:color="auto"/>
          </w:divBdr>
        </w:div>
        <w:div w:id="766847844">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728919144">
      <w:bodyDiv w:val="1"/>
      <w:marLeft w:val="0"/>
      <w:marRight w:val="0"/>
      <w:marTop w:val="0"/>
      <w:marBottom w:val="0"/>
      <w:divBdr>
        <w:top w:val="none" w:sz="0" w:space="0" w:color="auto"/>
        <w:left w:val="none" w:sz="0" w:space="0" w:color="auto"/>
        <w:bottom w:val="none" w:sz="0" w:space="0" w:color="auto"/>
        <w:right w:val="none" w:sz="0" w:space="0" w:color="auto"/>
      </w:divBdr>
      <w:divsChild>
        <w:div w:id="172304729">
          <w:blockQuote w:val="1"/>
          <w:marLeft w:val="720"/>
          <w:marRight w:val="0"/>
          <w:marTop w:val="0"/>
          <w:marBottom w:val="48"/>
          <w:divBdr>
            <w:top w:val="none" w:sz="0" w:space="0" w:color="auto"/>
            <w:left w:val="none" w:sz="0" w:space="0" w:color="auto"/>
            <w:bottom w:val="none" w:sz="0" w:space="0" w:color="auto"/>
            <w:right w:val="none" w:sz="0" w:space="0" w:color="auto"/>
          </w:divBdr>
        </w:div>
        <w:div w:id="1104229701">
          <w:blockQuote w:val="1"/>
          <w:marLeft w:val="720"/>
          <w:marRight w:val="0"/>
          <w:marTop w:val="0"/>
          <w:marBottom w:val="48"/>
          <w:divBdr>
            <w:top w:val="none" w:sz="0" w:space="0" w:color="auto"/>
            <w:left w:val="none" w:sz="0" w:space="0" w:color="auto"/>
            <w:bottom w:val="none" w:sz="0" w:space="0" w:color="auto"/>
            <w:right w:val="none" w:sz="0" w:space="0" w:color="auto"/>
          </w:divBdr>
        </w:div>
        <w:div w:id="555430140">
          <w:blockQuote w:val="1"/>
          <w:marLeft w:val="720"/>
          <w:marRight w:val="0"/>
          <w:marTop w:val="0"/>
          <w:marBottom w:val="48"/>
          <w:divBdr>
            <w:top w:val="none" w:sz="0" w:space="0" w:color="auto"/>
            <w:left w:val="none" w:sz="0" w:space="0" w:color="auto"/>
            <w:bottom w:val="none" w:sz="0" w:space="0" w:color="auto"/>
            <w:right w:val="none" w:sz="0" w:space="0" w:color="auto"/>
          </w:divBdr>
        </w:div>
        <w:div w:id="1213544092">
          <w:blockQuote w:val="1"/>
          <w:marLeft w:val="720"/>
          <w:marRight w:val="0"/>
          <w:marTop w:val="0"/>
          <w:marBottom w:val="48"/>
          <w:divBdr>
            <w:top w:val="none" w:sz="0" w:space="0" w:color="auto"/>
            <w:left w:val="none" w:sz="0" w:space="0" w:color="auto"/>
            <w:bottom w:val="none" w:sz="0" w:space="0" w:color="auto"/>
            <w:right w:val="none" w:sz="0" w:space="0" w:color="auto"/>
          </w:divBdr>
        </w:div>
        <w:div w:id="205872116">
          <w:blockQuote w:val="1"/>
          <w:marLeft w:val="720"/>
          <w:marRight w:val="0"/>
          <w:marTop w:val="0"/>
          <w:marBottom w:val="48"/>
          <w:divBdr>
            <w:top w:val="none" w:sz="0" w:space="0" w:color="auto"/>
            <w:left w:val="none" w:sz="0" w:space="0" w:color="auto"/>
            <w:bottom w:val="none" w:sz="0" w:space="0" w:color="auto"/>
            <w:right w:val="none" w:sz="0" w:space="0" w:color="auto"/>
          </w:divBdr>
        </w:div>
        <w:div w:id="1028532708">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905411514">
      <w:bodyDiv w:val="1"/>
      <w:marLeft w:val="0"/>
      <w:marRight w:val="0"/>
      <w:marTop w:val="0"/>
      <w:marBottom w:val="0"/>
      <w:divBdr>
        <w:top w:val="none" w:sz="0" w:space="0" w:color="auto"/>
        <w:left w:val="none" w:sz="0" w:space="0" w:color="auto"/>
        <w:bottom w:val="none" w:sz="0" w:space="0" w:color="auto"/>
        <w:right w:val="none" w:sz="0" w:space="0" w:color="auto"/>
      </w:divBdr>
    </w:div>
    <w:div w:id="970478272">
      <w:bodyDiv w:val="1"/>
      <w:marLeft w:val="0"/>
      <w:marRight w:val="0"/>
      <w:marTop w:val="0"/>
      <w:marBottom w:val="0"/>
      <w:divBdr>
        <w:top w:val="none" w:sz="0" w:space="0" w:color="auto"/>
        <w:left w:val="none" w:sz="0" w:space="0" w:color="auto"/>
        <w:bottom w:val="none" w:sz="0" w:space="0" w:color="auto"/>
        <w:right w:val="none" w:sz="0" w:space="0" w:color="auto"/>
      </w:divBdr>
    </w:div>
    <w:div w:id="1036278065">
      <w:bodyDiv w:val="1"/>
      <w:marLeft w:val="0"/>
      <w:marRight w:val="0"/>
      <w:marTop w:val="0"/>
      <w:marBottom w:val="0"/>
      <w:divBdr>
        <w:top w:val="none" w:sz="0" w:space="0" w:color="auto"/>
        <w:left w:val="none" w:sz="0" w:space="0" w:color="auto"/>
        <w:bottom w:val="none" w:sz="0" w:space="0" w:color="auto"/>
        <w:right w:val="none" w:sz="0" w:space="0" w:color="auto"/>
      </w:divBdr>
    </w:div>
    <w:div w:id="1042290754">
      <w:bodyDiv w:val="1"/>
      <w:marLeft w:val="0"/>
      <w:marRight w:val="0"/>
      <w:marTop w:val="0"/>
      <w:marBottom w:val="0"/>
      <w:divBdr>
        <w:top w:val="none" w:sz="0" w:space="0" w:color="auto"/>
        <w:left w:val="none" w:sz="0" w:space="0" w:color="auto"/>
        <w:bottom w:val="none" w:sz="0" w:space="0" w:color="auto"/>
        <w:right w:val="none" w:sz="0" w:space="0" w:color="auto"/>
      </w:divBdr>
    </w:div>
    <w:div w:id="1120101767">
      <w:bodyDiv w:val="1"/>
      <w:marLeft w:val="0"/>
      <w:marRight w:val="0"/>
      <w:marTop w:val="0"/>
      <w:marBottom w:val="0"/>
      <w:divBdr>
        <w:top w:val="none" w:sz="0" w:space="0" w:color="auto"/>
        <w:left w:val="none" w:sz="0" w:space="0" w:color="auto"/>
        <w:bottom w:val="none" w:sz="0" w:space="0" w:color="auto"/>
        <w:right w:val="none" w:sz="0" w:space="0" w:color="auto"/>
      </w:divBdr>
    </w:div>
    <w:div w:id="1267543675">
      <w:bodyDiv w:val="1"/>
      <w:marLeft w:val="0"/>
      <w:marRight w:val="0"/>
      <w:marTop w:val="0"/>
      <w:marBottom w:val="0"/>
      <w:divBdr>
        <w:top w:val="none" w:sz="0" w:space="0" w:color="auto"/>
        <w:left w:val="none" w:sz="0" w:space="0" w:color="auto"/>
        <w:bottom w:val="none" w:sz="0" w:space="0" w:color="auto"/>
        <w:right w:val="none" w:sz="0" w:space="0" w:color="auto"/>
      </w:divBdr>
      <w:divsChild>
        <w:div w:id="74983769">
          <w:blockQuote w:val="1"/>
          <w:marLeft w:val="720"/>
          <w:marRight w:val="0"/>
          <w:marTop w:val="0"/>
          <w:marBottom w:val="48"/>
          <w:divBdr>
            <w:top w:val="none" w:sz="0" w:space="0" w:color="auto"/>
            <w:left w:val="none" w:sz="0" w:space="0" w:color="auto"/>
            <w:bottom w:val="none" w:sz="0" w:space="0" w:color="auto"/>
            <w:right w:val="none" w:sz="0" w:space="0" w:color="auto"/>
          </w:divBdr>
        </w:div>
        <w:div w:id="1186404067">
          <w:blockQuote w:val="1"/>
          <w:marLeft w:val="720"/>
          <w:marRight w:val="0"/>
          <w:marTop w:val="0"/>
          <w:marBottom w:val="48"/>
          <w:divBdr>
            <w:top w:val="none" w:sz="0" w:space="0" w:color="auto"/>
            <w:left w:val="none" w:sz="0" w:space="0" w:color="auto"/>
            <w:bottom w:val="none" w:sz="0" w:space="0" w:color="auto"/>
            <w:right w:val="none" w:sz="0" w:space="0" w:color="auto"/>
          </w:divBdr>
        </w:div>
        <w:div w:id="546261176">
          <w:blockQuote w:val="1"/>
          <w:marLeft w:val="720"/>
          <w:marRight w:val="0"/>
          <w:marTop w:val="0"/>
          <w:marBottom w:val="48"/>
          <w:divBdr>
            <w:top w:val="none" w:sz="0" w:space="0" w:color="auto"/>
            <w:left w:val="none" w:sz="0" w:space="0" w:color="auto"/>
            <w:bottom w:val="none" w:sz="0" w:space="0" w:color="auto"/>
            <w:right w:val="none" w:sz="0" w:space="0" w:color="auto"/>
          </w:divBdr>
        </w:div>
        <w:div w:id="1689062271">
          <w:blockQuote w:val="1"/>
          <w:marLeft w:val="720"/>
          <w:marRight w:val="0"/>
          <w:marTop w:val="0"/>
          <w:marBottom w:val="48"/>
          <w:divBdr>
            <w:top w:val="none" w:sz="0" w:space="0" w:color="auto"/>
            <w:left w:val="none" w:sz="0" w:space="0" w:color="auto"/>
            <w:bottom w:val="none" w:sz="0" w:space="0" w:color="auto"/>
            <w:right w:val="none" w:sz="0" w:space="0" w:color="auto"/>
          </w:divBdr>
        </w:div>
        <w:div w:id="448164524">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270239018">
      <w:bodyDiv w:val="1"/>
      <w:marLeft w:val="0"/>
      <w:marRight w:val="0"/>
      <w:marTop w:val="0"/>
      <w:marBottom w:val="0"/>
      <w:divBdr>
        <w:top w:val="none" w:sz="0" w:space="0" w:color="auto"/>
        <w:left w:val="none" w:sz="0" w:space="0" w:color="auto"/>
        <w:bottom w:val="none" w:sz="0" w:space="0" w:color="auto"/>
        <w:right w:val="none" w:sz="0" w:space="0" w:color="auto"/>
      </w:divBdr>
    </w:div>
    <w:div w:id="1278215077">
      <w:bodyDiv w:val="1"/>
      <w:marLeft w:val="0"/>
      <w:marRight w:val="0"/>
      <w:marTop w:val="0"/>
      <w:marBottom w:val="0"/>
      <w:divBdr>
        <w:top w:val="none" w:sz="0" w:space="0" w:color="auto"/>
        <w:left w:val="none" w:sz="0" w:space="0" w:color="auto"/>
        <w:bottom w:val="none" w:sz="0" w:space="0" w:color="auto"/>
        <w:right w:val="none" w:sz="0" w:space="0" w:color="auto"/>
      </w:divBdr>
      <w:divsChild>
        <w:div w:id="1775787287">
          <w:blockQuote w:val="1"/>
          <w:marLeft w:val="720"/>
          <w:marRight w:val="720"/>
          <w:marTop w:val="100"/>
          <w:marBottom w:val="100"/>
          <w:divBdr>
            <w:top w:val="none" w:sz="0" w:space="0" w:color="auto"/>
            <w:left w:val="none" w:sz="0" w:space="0" w:color="auto"/>
            <w:bottom w:val="none" w:sz="0" w:space="0" w:color="auto"/>
            <w:right w:val="none" w:sz="0" w:space="0" w:color="auto"/>
          </w:divBdr>
        </w:div>
        <w:div w:id="1469786017">
          <w:blockQuote w:val="1"/>
          <w:marLeft w:val="720"/>
          <w:marRight w:val="720"/>
          <w:marTop w:val="100"/>
          <w:marBottom w:val="100"/>
          <w:divBdr>
            <w:top w:val="none" w:sz="0" w:space="0" w:color="auto"/>
            <w:left w:val="none" w:sz="0" w:space="0" w:color="auto"/>
            <w:bottom w:val="none" w:sz="0" w:space="0" w:color="auto"/>
            <w:right w:val="none" w:sz="0" w:space="0" w:color="auto"/>
          </w:divBdr>
        </w:div>
        <w:div w:id="1878353538">
          <w:blockQuote w:val="1"/>
          <w:marLeft w:val="720"/>
          <w:marRight w:val="720"/>
          <w:marTop w:val="100"/>
          <w:marBottom w:val="100"/>
          <w:divBdr>
            <w:top w:val="none" w:sz="0" w:space="0" w:color="auto"/>
            <w:left w:val="none" w:sz="0" w:space="0" w:color="auto"/>
            <w:bottom w:val="none" w:sz="0" w:space="0" w:color="auto"/>
            <w:right w:val="none" w:sz="0" w:space="0" w:color="auto"/>
          </w:divBdr>
        </w:div>
        <w:div w:id="636497613">
          <w:blockQuote w:val="1"/>
          <w:marLeft w:val="720"/>
          <w:marRight w:val="720"/>
          <w:marTop w:val="100"/>
          <w:marBottom w:val="100"/>
          <w:divBdr>
            <w:top w:val="none" w:sz="0" w:space="0" w:color="auto"/>
            <w:left w:val="none" w:sz="0" w:space="0" w:color="auto"/>
            <w:bottom w:val="none" w:sz="0" w:space="0" w:color="auto"/>
            <w:right w:val="none" w:sz="0" w:space="0" w:color="auto"/>
          </w:divBdr>
        </w:div>
        <w:div w:id="2052992553">
          <w:blockQuote w:val="1"/>
          <w:marLeft w:val="720"/>
          <w:marRight w:val="720"/>
          <w:marTop w:val="100"/>
          <w:marBottom w:val="100"/>
          <w:divBdr>
            <w:top w:val="none" w:sz="0" w:space="0" w:color="auto"/>
            <w:left w:val="none" w:sz="0" w:space="0" w:color="auto"/>
            <w:bottom w:val="none" w:sz="0" w:space="0" w:color="auto"/>
            <w:right w:val="none" w:sz="0" w:space="0" w:color="auto"/>
          </w:divBdr>
        </w:div>
        <w:div w:id="1844780766">
          <w:blockQuote w:val="1"/>
          <w:marLeft w:val="720"/>
          <w:marRight w:val="720"/>
          <w:marTop w:val="100"/>
          <w:marBottom w:val="100"/>
          <w:divBdr>
            <w:top w:val="none" w:sz="0" w:space="0" w:color="auto"/>
            <w:left w:val="none" w:sz="0" w:space="0" w:color="auto"/>
            <w:bottom w:val="none" w:sz="0" w:space="0" w:color="auto"/>
            <w:right w:val="none" w:sz="0" w:space="0" w:color="auto"/>
          </w:divBdr>
        </w:div>
        <w:div w:id="11321663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1569557">
      <w:bodyDiv w:val="1"/>
      <w:marLeft w:val="0"/>
      <w:marRight w:val="0"/>
      <w:marTop w:val="0"/>
      <w:marBottom w:val="0"/>
      <w:divBdr>
        <w:top w:val="none" w:sz="0" w:space="0" w:color="auto"/>
        <w:left w:val="none" w:sz="0" w:space="0" w:color="auto"/>
        <w:bottom w:val="none" w:sz="0" w:space="0" w:color="auto"/>
        <w:right w:val="none" w:sz="0" w:space="0" w:color="auto"/>
      </w:divBdr>
    </w:div>
    <w:div w:id="1396052950">
      <w:bodyDiv w:val="1"/>
      <w:marLeft w:val="0"/>
      <w:marRight w:val="0"/>
      <w:marTop w:val="0"/>
      <w:marBottom w:val="0"/>
      <w:divBdr>
        <w:top w:val="none" w:sz="0" w:space="0" w:color="auto"/>
        <w:left w:val="none" w:sz="0" w:space="0" w:color="auto"/>
        <w:bottom w:val="none" w:sz="0" w:space="0" w:color="auto"/>
        <w:right w:val="none" w:sz="0" w:space="0" w:color="auto"/>
      </w:divBdr>
    </w:div>
    <w:div w:id="1605456451">
      <w:bodyDiv w:val="1"/>
      <w:marLeft w:val="0"/>
      <w:marRight w:val="0"/>
      <w:marTop w:val="0"/>
      <w:marBottom w:val="0"/>
      <w:divBdr>
        <w:top w:val="none" w:sz="0" w:space="0" w:color="auto"/>
        <w:left w:val="none" w:sz="0" w:space="0" w:color="auto"/>
        <w:bottom w:val="none" w:sz="0" w:space="0" w:color="auto"/>
        <w:right w:val="none" w:sz="0" w:space="0" w:color="auto"/>
      </w:divBdr>
      <w:divsChild>
        <w:div w:id="217321219">
          <w:blockQuote w:val="1"/>
          <w:marLeft w:val="720"/>
          <w:marRight w:val="720"/>
          <w:marTop w:val="100"/>
          <w:marBottom w:val="100"/>
          <w:divBdr>
            <w:top w:val="none" w:sz="0" w:space="0" w:color="auto"/>
            <w:left w:val="none" w:sz="0" w:space="0" w:color="auto"/>
            <w:bottom w:val="none" w:sz="0" w:space="0" w:color="auto"/>
            <w:right w:val="none" w:sz="0" w:space="0" w:color="auto"/>
          </w:divBdr>
        </w:div>
        <w:div w:id="2006321955">
          <w:blockQuote w:val="1"/>
          <w:marLeft w:val="720"/>
          <w:marRight w:val="720"/>
          <w:marTop w:val="100"/>
          <w:marBottom w:val="100"/>
          <w:divBdr>
            <w:top w:val="none" w:sz="0" w:space="0" w:color="auto"/>
            <w:left w:val="none" w:sz="0" w:space="0" w:color="auto"/>
            <w:bottom w:val="none" w:sz="0" w:space="0" w:color="auto"/>
            <w:right w:val="none" w:sz="0" w:space="0" w:color="auto"/>
          </w:divBdr>
        </w:div>
        <w:div w:id="1094210983">
          <w:blockQuote w:val="1"/>
          <w:marLeft w:val="720"/>
          <w:marRight w:val="720"/>
          <w:marTop w:val="100"/>
          <w:marBottom w:val="100"/>
          <w:divBdr>
            <w:top w:val="none" w:sz="0" w:space="0" w:color="auto"/>
            <w:left w:val="none" w:sz="0" w:space="0" w:color="auto"/>
            <w:bottom w:val="none" w:sz="0" w:space="0" w:color="auto"/>
            <w:right w:val="none" w:sz="0" w:space="0" w:color="auto"/>
          </w:divBdr>
        </w:div>
        <w:div w:id="423038494">
          <w:blockQuote w:val="1"/>
          <w:marLeft w:val="720"/>
          <w:marRight w:val="720"/>
          <w:marTop w:val="100"/>
          <w:marBottom w:val="100"/>
          <w:divBdr>
            <w:top w:val="none" w:sz="0" w:space="0" w:color="auto"/>
            <w:left w:val="none" w:sz="0" w:space="0" w:color="auto"/>
            <w:bottom w:val="none" w:sz="0" w:space="0" w:color="auto"/>
            <w:right w:val="none" w:sz="0" w:space="0" w:color="auto"/>
          </w:divBdr>
        </w:div>
        <w:div w:id="265383349">
          <w:blockQuote w:val="1"/>
          <w:marLeft w:val="720"/>
          <w:marRight w:val="720"/>
          <w:marTop w:val="100"/>
          <w:marBottom w:val="100"/>
          <w:divBdr>
            <w:top w:val="none" w:sz="0" w:space="0" w:color="auto"/>
            <w:left w:val="none" w:sz="0" w:space="0" w:color="auto"/>
            <w:bottom w:val="none" w:sz="0" w:space="0" w:color="auto"/>
            <w:right w:val="none" w:sz="0" w:space="0" w:color="auto"/>
          </w:divBdr>
        </w:div>
        <w:div w:id="1909538212">
          <w:blockQuote w:val="1"/>
          <w:marLeft w:val="720"/>
          <w:marRight w:val="720"/>
          <w:marTop w:val="100"/>
          <w:marBottom w:val="100"/>
          <w:divBdr>
            <w:top w:val="none" w:sz="0" w:space="0" w:color="auto"/>
            <w:left w:val="none" w:sz="0" w:space="0" w:color="auto"/>
            <w:bottom w:val="none" w:sz="0" w:space="0" w:color="auto"/>
            <w:right w:val="none" w:sz="0" w:space="0" w:color="auto"/>
          </w:divBdr>
        </w:div>
        <w:div w:id="16289736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5938597">
      <w:bodyDiv w:val="1"/>
      <w:marLeft w:val="0"/>
      <w:marRight w:val="0"/>
      <w:marTop w:val="0"/>
      <w:marBottom w:val="0"/>
      <w:divBdr>
        <w:top w:val="none" w:sz="0" w:space="0" w:color="auto"/>
        <w:left w:val="none" w:sz="0" w:space="0" w:color="auto"/>
        <w:bottom w:val="none" w:sz="0" w:space="0" w:color="auto"/>
        <w:right w:val="none" w:sz="0" w:space="0" w:color="auto"/>
      </w:divBdr>
    </w:div>
    <w:div w:id="1640652442">
      <w:bodyDiv w:val="1"/>
      <w:marLeft w:val="0"/>
      <w:marRight w:val="0"/>
      <w:marTop w:val="0"/>
      <w:marBottom w:val="0"/>
      <w:divBdr>
        <w:top w:val="none" w:sz="0" w:space="0" w:color="auto"/>
        <w:left w:val="none" w:sz="0" w:space="0" w:color="auto"/>
        <w:bottom w:val="none" w:sz="0" w:space="0" w:color="auto"/>
        <w:right w:val="none" w:sz="0" w:space="0" w:color="auto"/>
      </w:divBdr>
      <w:divsChild>
        <w:div w:id="2080013505">
          <w:blockQuote w:val="1"/>
          <w:marLeft w:val="720"/>
          <w:marRight w:val="0"/>
          <w:marTop w:val="0"/>
          <w:marBottom w:val="48"/>
          <w:divBdr>
            <w:top w:val="none" w:sz="0" w:space="0" w:color="auto"/>
            <w:left w:val="none" w:sz="0" w:space="0" w:color="auto"/>
            <w:bottom w:val="none" w:sz="0" w:space="0" w:color="auto"/>
            <w:right w:val="none" w:sz="0" w:space="0" w:color="auto"/>
          </w:divBdr>
        </w:div>
        <w:div w:id="868765677">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58725192">
      <w:bodyDiv w:val="1"/>
      <w:marLeft w:val="0"/>
      <w:marRight w:val="0"/>
      <w:marTop w:val="0"/>
      <w:marBottom w:val="0"/>
      <w:divBdr>
        <w:top w:val="none" w:sz="0" w:space="0" w:color="auto"/>
        <w:left w:val="none" w:sz="0" w:space="0" w:color="auto"/>
        <w:bottom w:val="none" w:sz="0" w:space="0" w:color="auto"/>
        <w:right w:val="none" w:sz="0" w:space="0" w:color="auto"/>
      </w:divBdr>
      <w:divsChild>
        <w:div w:id="1818767089">
          <w:blockQuote w:val="1"/>
          <w:marLeft w:val="720"/>
          <w:marRight w:val="0"/>
          <w:marTop w:val="0"/>
          <w:marBottom w:val="48"/>
          <w:divBdr>
            <w:top w:val="none" w:sz="0" w:space="0" w:color="auto"/>
            <w:left w:val="none" w:sz="0" w:space="0" w:color="auto"/>
            <w:bottom w:val="none" w:sz="0" w:space="0" w:color="auto"/>
            <w:right w:val="none" w:sz="0" w:space="0" w:color="auto"/>
          </w:divBdr>
        </w:div>
        <w:div w:id="1686980540">
          <w:blockQuote w:val="1"/>
          <w:marLeft w:val="720"/>
          <w:marRight w:val="0"/>
          <w:marTop w:val="0"/>
          <w:marBottom w:val="48"/>
          <w:divBdr>
            <w:top w:val="none" w:sz="0" w:space="0" w:color="auto"/>
            <w:left w:val="none" w:sz="0" w:space="0" w:color="auto"/>
            <w:bottom w:val="none" w:sz="0" w:space="0" w:color="auto"/>
            <w:right w:val="none" w:sz="0" w:space="0" w:color="auto"/>
          </w:divBdr>
        </w:div>
        <w:div w:id="374501715">
          <w:blockQuote w:val="1"/>
          <w:marLeft w:val="720"/>
          <w:marRight w:val="0"/>
          <w:marTop w:val="0"/>
          <w:marBottom w:val="48"/>
          <w:divBdr>
            <w:top w:val="none" w:sz="0" w:space="0" w:color="auto"/>
            <w:left w:val="none" w:sz="0" w:space="0" w:color="auto"/>
            <w:bottom w:val="none" w:sz="0" w:space="0" w:color="auto"/>
            <w:right w:val="none" w:sz="0" w:space="0" w:color="auto"/>
          </w:divBdr>
        </w:div>
        <w:div w:id="646738280">
          <w:blockQuote w:val="1"/>
          <w:marLeft w:val="720"/>
          <w:marRight w:val="0"/>
          <w:marTop w:val="0"/>
          <w:marBottom w:val="48"/>
          <w:divBdr>
            <w:top w:val="none" w:sz="0" w:space="0" w:color="auto"/>
            <w:left w:val="none" w:sz="0" w:space="0" w:color="auto"/>
            <w:bottom w:val="none" w:sz="0" w:space="0" w:color="auto"/>
            <w:right w:val="none" w:sz="0" w:space="0" w:color="auto"/>
          </w:divBdr>
        </w:div>
        <w:div w:id="1456366842">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745033969">
      <w:bodyDiv w:val="1"/>
      <w:marLeft w:val="0"/>
      <w:marRight w:val="0"/>
      <w:marTop w:val="0"/>
      <w:marBottom w:val="0"/>
      <w:divBdr>
        <w:top w:val="none" w:sz="0" w:space="0" w:color="auto"/>
        <w:left w:val="none" w:sz="0" w:space="0" w:color="auto"/>
        <w:bottom w:val="none" w:sz="0" w:space="0" w:color="auto"/>
        <w:right w:val="none" w:sz="0" w:space="0" w:color="auto"/>
      </w:divBdr>
    </w:div>
    <w:div w:id="1876506848">
      <w:bodyDiv w:val="1"/>
      <w:marLeft w:val="0"/>
      <w:marRight w:val="0"/>
      <w:marTop w:val="0"/>
      <w:marBottom w:val="0"/>
      <w:divBdr>
        <w:top w:val="none" w:sz="0" w:space="0" w:color="auto"/>
        <w:left w:val="none" w:sz="0" w:space="0" w:color="auto"/>
        <w:bottom w:val="none" w:sz="0" w:space="0" w:color="auto"/>
        <w:right w:val="none" w:sz="0" w:space="0" w:color="auto"/>
      </w:divBdr>
    </w:div>
    <w:div w:id="1916435560">
      <w:bodyDiv w:val="1"/>
      <w:marLeft w:val="0"/>
      <w:marRight w:val="0"/>
      <w:marTop w:val="0"/>
      <w:marBottom w:val="0"/>
      <w:divBdr>
        <w:top w:val="none" w:sz="0" w:space="0" w:color="auto"/>
        <w:left w:val="none" w:sz="0" w:space="0" w:color="auto"/>
        <w:bottom w:val="none" w:sz="0" w:space="0" w:color="auto"/>
        <w:right w:val="none" w:sz="0" w:space="0" w:color="auto"/>
      </w:divBdr>
    </w:div>
    <w:div w:id="1937250174">
      <w:bodyDiv w:val="1"/>
      <w:marLeft w:val="0"/>
      <w:marRight w:val="0"/>
      <w:marTop w:val="0"/>
      <w:marBottom w:val="0"/>
      <w:divBdr>
        <w:top w:val="none" w:sz="0" w:space="0" w:color="auto"/>
        <w:left w:val="none" w:sz="0" w:space="0" w:color="auto"/>
        <w:bottom w:val="none" w:sz="0" w:space="0" w:color="auto"/>
        <w:right w:val="none" w:sz="0" w:space="0" w:color="auto"/>
      </w:divBdr>
      <w:divsChild>
        <w:div w:id="1350138739">
          <w:blockQuote w:val="1"/>
          <w:marLeft w:val="720"/>
          <w:marRight w:val="0"/>
          <w:marTop w:val="0"/>
          <w:marBottom w:val="48"/>
          <w:divBdr>
            <w:top w:val="none" w:sz="0" w:space="0" w:color="auto"/>
            <w:left w:val="none" w:sz="0" w:space="0" w:color="auto"/>
            <w:bottom w:val="none" w:sz="0" w:space="0" w:color="auto"/>
            <w:right w:val="none" w:sz="0" w:space="0" w:color="auto"/>
          </w:divBdr>
        </w:div>
        <w:div w:id="87972179">
          <w:blockQuote w:val="1"/>
          <w:marLeft w:val="720"/>
          <w:marRight w:val="0"/>
          <w:marTop w:val="0"/>
          <w:marBottom w:val="48"/>
          <w:divBdr>
            <w:top w:val="none" w:sz="0" w:space="0" w:color="auto"/>
            <w:left w:val="none" w:sz="0" w:space="0" w:color="auto"/>
            <w:bottom w:val="none" w:sz="0" w:space="0" w:color="auto"/>
            <w:right w:val="none" w:sz="0" w:space="0" w:color="auto"/>
          </w:divBdr>
        </w:div>
        <w:div w:id="1420324782">
          <w:blockQuote w:val="1"/>
          <w:marLeft w:val="720"/>
          <w:marRight w:val="0"/>
          <w:marTop w:val="0"/>
          <w:marBottom w:val="48"/>
          <w:divBdr>
            <w:top w:val="none" w:sz="0" w:space="0" w:color="auto"/>
            <w:left w:val="none" w:sz="0" w:space="0" w:color="auto"/>
            <w:bottom w:val="none" w:sz="0" w:space="0" w:color="auto"/>
            <w:right w:val="none" w:sz="0" w:space="0" w:color="auto"/>
          </w:divBdr>
        </w:div>
        <w:div w:id="2122532206">
          <w:blockQuote w:val="1"/>
          <w:marLeft w:val="720"/>
          <w:marRight w:val="0"/>
          <w:marTop w:val="0"/>
          <w:marBottom w:val="48"/>
          <w:divBdr>
            <w:top w:val="none" w:sz="0" w:space="0" w:color="auto"/>
            <w:left w:val="none" w:sz="0" w:space="0" w:color="auto"/>
            <w:bottom w:val="none" w:sz="0" w:space="0" w:color="auto"/>
            <w:right w:val="none" w:sz="0" w:space="0" w:color="auto"/>
          </w:divBdr>
        </w:div>
        <w:div w:id="886406246">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2021463965">
      <w:bodyDiv w:val="1"/>
      <w:marLeft w:val="0"/>
      <w:marRight w:val="0"/>
      <w:marTop w:val="0"/>
      <w:marBottom w:val="0"/>
      <w:divBdr>
        <w:top w:val="none" w:sz="0" w:space="0" w:color="auto"/>
        <w:left w:val="none" w:sz="0" w:space="0" w:color="auto"/>
        <w:bottom w:val="none" w:sz="0" w:space="0" w:color="auto"/>
        <w:right w:val="none" w:sz="0" w:space="0" w:color="auto"/>
      </w:divBdr>
    </w:div>
    <w:div w:id="2048409027">
      <w:bodyDiv w:val="1"/>
      <w:marLeft w:val="0"/>
      <w:marRight w:val="0"/>
      <w:marTop w:val="0"/>
      <w:marBottom w:val="0"/>
      <w:divBdr>
        <w:top w:val="none" w:sz="0" w:space="0" w:color="auto"/>
        <w:left w:val="none" w:sz="0" w:space="0" w:color="auto"/>
        <w:bottom w:val="none" w:sz="0" w:space="0" w:color="auto"/>
        <w:right w:val="none" w:sz="0" w:space="0" w:color="auto"/>
      </w:divBdr>
    </w:div>
    <w:div w:id="2103795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1B26118DD02724484BFF77A3F429303" ma:contentTypeVersion="6" ma:contentTypeDescription="Create a new document." ma:contentTypeScope="" ma:versionID="84107e6a37eb41227de357c0bf64b0bd">
  <xsd:schema xmlns:xsd="http://www.w3.org/2001/XMLSchema" xmlns:xs="http://www.w3.org/2001/XMLSchema" xmlns:p="http://schemas.microsoft.com/office/2006/metadata/properties" xmlns:ns2="5c0987bc-e7bd-4ec0-a0ea-8680db43177c" xmlns:ns3="0d47e07c-49c4-477f-832a-97cc113210f4" targetNamespace="http://schemas.microsoft.com/office/2006/metadata/properties" ma:root="true" ma:fieldsID="30ee6308079a0e342f863760d302a263" ns2:_="" ns3:_="">
    <xsd:import namespace="5c0987bc-e7bd-4ec0-a0ea-8680db43177c"/>
    <xsd:import namespace="0d47e07c-49c4-477f-832a-97cc113210f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0987bc-e7bd-4ec0-a0ea-8680db4317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47e07c-49c4-477f-832a-97cc113210f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12A174-EA9B-48A1-8377-255F20AEF978}">
  <ds:schemaRefs>
    <ds:schemaRef ds:uri="http://schemas.openxmlformats.org/officeDocument/2006/bibliography"/>
  </ds:schemaRefs>
</ds:datastoreItem>
</file>

<file path=customXml/itemProps2.xml><?xml version="1.0" encoding="utf-8"?>
<ds:datastoreItem xmlns:ds="http://schemas.openxmlformats.org/officeDocument/2006/customXml" ds:itemID="{54171E4B-F61A-4D32-8475-2FE691DB35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1D5AD0-AAC1-49AB-8F1E-66C4629DD1EB}">
  <ds:schemaRefs>
    <ds:schemaRef ds:uri="http://schemas.microsoft.com/sharepoint/v3/contenttype/forms"/>
  </ds:schemaRefs>
</ds:datastoreItem>
</file>

<file path=customXml/itemProps4.xml><?xml version="1.0" encoding="utf-8"?>
<ds:datastoreItem xmlns:ds="http://schemas.openxmlformats.org/officeDocument/2006/customXml" ds:itemID="{1BAD0A79-E7C7-4E72-BD3A-4856A97B3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0987bc-e7bd-4ec0-a0ea-8680db43177c"/>
    <ds:schemaRef ds:uri="0d47e07c-49c4-477f-832a-97cc113210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1100</TotalTime>
  <Pages>57</Pages>
  <Words>20330</Words>
  <Characters>109785</Characters>
  <Application>Microsoft Office Word</Application>
  <DocSecurity>0</DocSecurity>
  <Lines>914</Lines>
  <Paragraphs>259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129856</CharactersWithSpaces>
  <SharedDoc>false</SharedDoc>
  <HLinks>
    <vt:vector size="138" baseType="variant">
      <vt:variant>
        <vt:i4>4587569</vt:i4>
      </vt:variant>
      <vt:variant>
        <vt:i4>66</vt:i4>
      </vt:variant>
      <vt:variant>
        <vt:i4>0</vt:i4>
      </vt:variant>
      <vt:variant>
        <vt:i4>5</vt:i4>
      </vt:variant>
      <vt:variant>
        <vt:lpwstr/>
      </vt:variant>
      <vt:variant>
        <vt:lpwstr>nt_22</vt:lpwstr>
      </vt:variant>
      <vt:variant>
        <vt:i4>4587569</vt:i4>
      </vt:variant>
      <vt:variant>
        <vt:i4>63</vt:i4>
      </vt:variant>
      <vt:variant>
        <vt:i4>0</vt:i4>
      </vt:variant>
      <vt:variant>
        <vt:i4>5</vt:i4>
      </vt:variant>
      <vt:variant>
        <vt:lpwstr/>
      </vt:variant>
      <vt:variant>
        <vt:lpwstr>nt_21</vt:lpwstr>
      </vt:variant>
      <vt:variant>
        <vt:i4>4587569</vt:i4>
      </vt:variant>
      <vt:variant>
        <vt:i4>60</vt:i4>
      </vt:variant>
      <vt:variant>
        <vt:i4>0</vt:i4>
      </vt:variant>
      <vt:variant>
        <vt:i4>5</vt:i4>
      </vt:variant>
      <vt:variant>
        <vt:lpwstr/>
      </vt:variant>
      <vt:variant>
        <vt:lpwstr>nt_20</vt:lpwstr>
      </vt:variant>
      <vt:variant>
        <vt:i4>4522033</vt:i4>
      </vt:variant>
      <vt:variant>
        <vt:i4>57</vt:i4>
      </vt:variant>
      <vt:variant>
        <vt:i4>0</vt:i4>
      </vt:variant>
      <vt:variant>
        <vt:i4>5</vt:i4>
      </vt:variant>
      <vt:variant>
        <vt:lpwstr/>
      </vt:variant>
      <vt:variant>
        <vt:lpwstr>nt_19</vt:lpwstr>
      </vt:variant>
      <vt:variant>
        <vt:i4>4522033</vt:i4>
      </vt:variant>
      <vt:variant>
        <vt:i4>54</vt:i4>
      </vt:variant>
      <vt:variant>
        <vt:i4>0</vt:i4>
      </vt:variant>
      <vt:variant>
        <vt:i4>5</vt:i4>
      </vt:variant>
      <vt:variant>
        <vt:lpwstr/>
      </vt:variant>
      <vt:variant>
        <vt:lpwstr>nt_18</vt:lpwstr>
      </vt:variant>
      <vt:variant>
        <vt:i4>4522033</vt:i4>
      </vt:variant>
      <vt:variant>
        <vt:i4>51</vt:i4>
      </vt:variant>
      <vt:variant>
        <vt:i4>0</vt:i4>
      </vt:variant>
      <vt:variant>
        <vt:i4>5</vt:i4>
      </vt:variant>
      <vt:variant>
        <vt:lpwstr/>
      </vt:variant>
      <vt:variant>
        <vt:lpwstr>nt_17</vt:lpwstr>
      </vt:variant>
      <vt:variant>
        <vt:i4>4522033</vt:i4>
      </vt:variant>
      <vt:variant>
        <vt:i4>48</vt:i4>
      </vt:variant>
      <vt:variant>
        <vt:i4>0</vt:i4>
      </vt:variant>
      <vt:variant>
        <vt:i4>5</vt:i4>
      </vt:variant>
      <vt:variant>
        <vt:lpwstr/>
      </vt:variant>
      <vt:variant>
        <vt:lpwstr>nt_16</vt:lpwstr>
      </vt:variant>
      <vt:variant>
        <vt:i4>4522033</vt:i4>
      </vt:variant>
      <vt:variant>
        <vt:i4>45</vt:i4>
      </vt:variant>
      <vt:variant>
        <vt:i4>0</vt:i4>
      </vt:variant>
      <vt:variant>
        <vt:i4>5</vt:i4>
      </vt:variant>
      <vt:variant>
        <vt:lpwstr/>
      </vt:variant>
      <vt:variant>
        <vt:lpwstr>nt_16</vt:lpwstr>
      </vt:variant>
      <vt:variant>
        <vt:i4>4522033</vt:i4>
      </vt:variant>
      <vt:variant>
        <vt:i4>42</vt:i4>
      </vt:variant>
      <vt:variant>
        <vt:i4>0</vt:i4>
      </vt:variant>
      <vt:variant>
        <vt:i4>5</vt:i4>
      </vt:variant>
      <vt:variant>
        <vt:lpwstr/>
      </vt:variant>
      <vt:variant>
        <vt:lpwstr>nt_15</vt:lpwstr>
      </vt:variant>
      <vt:variant>
        <vt:i4>4522033</vt:i4>
      </vt:variant>
      <vt:variant>
        <vt:i4>39</vt:i4>
      </vt:variant>
      <vt:variant>
        <vt:i4>0</vt:i4>
      </vt:variant>
      <vt:variant>
        <vt:i4>5</vt:i4>
      </vt:variant>
      <vt:variant>
        <vt:lpwstr/>
      </vt:variant>
      <vt:variant>
        <vt:lpwstr>nt_14</vt:lpwstr>
      </vt:variant>
      <vt:variant>
        <vt:i4>4522033</vt:i4>
      </vt:variant>
      <vt:variant>
        <vt:i4>36</vt:i4>
      </vt:variant>
      <vt:variant>
        <vt:i4>0</vt:i4>
      </vt:variant>
      <vt:variant>
        <vt:i4>5</vt:i4>
      </vt:variant>
      <vt:variant>
        <vt:lpwstr/>
      </vt:variant>
      <vt:variant>
        <vt:lpwstr>nt_13</vt:lpwstr>
      </vt:variant>
      <vt:variant>
        <vt:i4>4522033</vt:i4>
      </vt:variant>
      <vt:variant>
        <vt:i4>33</vt:i4>
      </vt:variant>
      <vt:variant>
        <vt:i4>0</vt:i4>
      </vt:variant>
      <vt:variant>
        <vt:i4>5</vt:i4>
      </vt:variant>
      <vt:variant>
        <vt:lpwstr/>
      </vt:variant>
      <vt:variant>
        <vt:lpwstr>nt_12</vt:lpwstr>
      </vt:variant>
      <vt:variant>
        <vt:i4>4522033</vt:i4>
      </vt:variant>
      <vt:variant>
        <vt:i4>30</vt:i4>
      </vt:variant>
      <vt:variant>
        <vt:i4>0</vt:i4>
      </vt:variant>
      <vt:variant>
        <vt:i4>5</vt:i4>
      </vt:variant>
      <vt:variant>
        <vt:lpwstr/>
      </vt:variant>
      <vt:variant>
        <vt:lpwstr>nt_11</vt:lpwstr>
      </vt:variant>
      <vt:variant>
        <vt:i4>4522033</vt:i4>
      </vt:variant>
      <vt:variant>
        <vt:i4>27</vt:i4>
      </vt:variant>
      <vt:variant>
        <vt:i4>0</vt:i4>
      </vt:variant>
      <vt:variant>
        <vt:i4>5</vt:i4>
      </vt:variant>
      <vt:variant>
        <vt:lpwstr/>
      </vt:variant>
      <vt:variant>
        <vt:lpwstr>nt_10</vt:lpwstr>
      </vt:variant>
      <vt:variant>
        <vt:i4>5046321</vt:i4>
      </vt:variant>
      <vt:variant>
        <vt:i4>24</vt:i4>
      </vt:variant>
      <vt:variant>
        <vt:i4>0</vt:i4>
      </vt:variant>
      <vt:variant>
        <vt:i4>5</vt:i4>
      </vt:variant>
      <vt:variant>
        <vt:lpwstr/>
      </vt:variant>
      <vt:variant>
        <vt:lpwstr>nt_9</vt:lpwstr>
      </vt:variant>
      <vt:variant>
        <vt:i4>4980785</vt:i4>
      </vt:variant>
      <vt:variant>
        <vt:i4>21</vt:i4>
      </vt:variant>
      <vt:variant>
        <vt:i4>0</vt:i4>
      </vt:variant>
      <vt:variant>
        <vt:i4>5</vt:i4>
      </vt:variant>
      <vt:variant>
        <vt:lpwstr/>
      </vt:variant>
      <vt:variant>
        <vt:lpwstr>nt_8</vt:lpwstr>
      </vt:variant>
      <vt:variant>
        <vt:i4>4390961</vt:i4>
      </vt:variant>
      <vt:variant>
        <vt:i4>18</vt:i4>
      </vt:variant>
      <vt:variant>
        <vt:i4>0</vt:i4>
      </vt:variant>
      <vt:variant>
        <vt:i4>5</vt:i4>
      </vt:variant>
      <vt:variant>
        <vt:lpwstr/>
      </vt:variant>
      <vt:variant>
        <vt:lpwstr>nt_7</vt:lpwstr>
      </vt:variant>
      <vt:variant>
        <vt:i4>4325425</vt:i4>
      </vt:variant>
      <vt:variant>
        <vt:i4>15</vt:i4>
      </vt:variant>
      <vt:variant>
        <vt:i4>0</vt:i4>
      </vt:variant>
      <vt:variant>
        <vt:i4>5</vt:i4>
      </vt:variant>
      <vt:variant>
        <vt:lpwstr/>
      </vt:variant>
      <vt:variant>
        <vt:lpwstr>nt_6</vt:lpwstr>
      </vt:variant>
      <vt:variant>
        <vt:i4>4259889</vt:i4>
      </vt:variant>
      <vt:variant>
        <vt:i4>12</vt:i4>
      </vt:variant>
      <vt:variant>
        <vt:i4>0</vt:i4>
      </vt:variant>
      <vt:variant>
        <vt:i4>5</vt:i4>
      </vt:variant>
      <vt:variant>
        <vt:lpwstr/>
      </vt:variant>
      <vt:variant>
        <vt:lpwstr>nt_5</vt:lpwstr>
      </vt:variant>
      <vt:variant>
        <vt:i4>4194353</vt:i4>
      </vt:variant>
      <vt:variant>
        <vt:i4>9</vt:i4>
      </vt:variant>
      <vt:variant>
        <vt:i4>0</vt:i4>
      </vt:variant>
      <vt:variant>
        <vt:i4>5</vt:i4>
      </vt:variant>
      <vt:variant>
        <vt:lpwstr/>
      </vt:variant>
      <vt:variant>
        <vt:lpwstr>nt_4</vt:lpwstr>
      </vt:variant>
      <vt:variant>
        <vt:i4>4653105</vt:i4>
      </vt:variant>
      <vt:variant>
        <vt:i4>6</vt:i4>
      </vt:variant>
      <vt:variant>
        <vt:i4>0</vt:i4>
      </vt:variant>
      <vt:variant>
        <vt:i4>5</vt:i4>
      </vt:variant>
      <vt:variant>
        <vt:lpwstr/>
      </vt:variant>
      <vt:variant>
        <vt:lpwstr>nt_3</vt:lpwstr>
      </vt:variant>
      <vt:variant>
        <vt:i4>4587569</vt:i4>
      </vt:variant>
      <vt:variant>
        <vt:i4>3</vt:i4>
      </vt:variant>
      <vt:variant>
        <vt:i4>0</vt:i4>
      </vt:variant>
      <vt:variant>
        <vt:i4>5</vt:i4>
      </vt:variant>
      <vt:variant>
        <vt:lpwstr/>
      </vt:variant>
      <vt:variant>
        <vt:lpwstr>nt_2</vt:lpwstr>
      </vt:variant>
      <vt:variant>
        <vt:i4>4522033</vt:i4>
      </vt:variant>
      <vt:variant>
        <vt:i4>0</vt:i4>
      </vt:variant>
      <vt:variant>
        <vt:i4>0</vt:i4>
      </vt:variant>
      <vt:variant>
        <vt:i4>5</vt:i4>
      </vt:variant>
      <vt:variant>
        <vt:lpwstr/>
      </vt:variant>
      <vt:variant>
        <vt:lpwstr>nt_1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Luciana Csipai</dc:creator>
  <cp:keywords/>
  <dc:description/>
  <cp:lastModifiedBy>Dyeiko A.</cp:lastModifiedBy>
  <cp:revision>112</cp:revision>
  <cp:lastPrinted>2024-09-25T14:46:00Z</cp:lastPrinted>
  <dcterms:created xsi:type="dcterms:W3CDTF">2024-01-08T12:44:00Z</dcterms:created>
  <dcterms:modified xsi:type="dcterms:W3CDTF">2024-09-25T14:46:00Z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0x010100B1B26118DD02724484BFF77A3F429303</vt:lpwstr>
  </property>
</Properties>
</file>